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1190" w14:textId="4D500AE0" w:rsidR="00D433D5" w:rsidRDefault="00D433D5" w:rsidP="00A737C5">
      <w:pPr>
        <w:rPr>
          <w:rFonts w:ascii="Proxima Nova" w:hAnsi="Proxima Nova"/>
          <w:b/>
          <w:bCs/>
          <w:sz w:val="28"/>
          <w:szCs w:val="28"/>
          <w:lang w:val="sk-SK"/>
        </w:rPr>
      </w:pPr>
      <w:r>
        <w:rPr>
          <w:rFonts w:ascii="Proxima Nova" w:eastAsia="Proxima Nova" w:hAnsi="Proxima Nova" w:cs="Proxima Nova"/>
          <w:b/>
          <w:color w:val="002060"/>
          <w:sz w:val="36"/>
          <w:szCs w:val="36"/>
          <w:lang w:val="en-US"/>
        </w:rPr>
        <w:t xml:space="preserve">Energy Traders Europe Response to </w:t>
      </w:r>
      <w:r w:rsidR="00A737C5" w:rsidRPr="00A737C5">
        <w:rPr>
          <w:rFonts w:ascii="Proxima Nova" w:eastAsia="Proxima Nova" w:hAnsi="Proxima Nova" w:cs="Proxima Nova"/>
          <w:b/>
          <w:color w:val="002060"/>
          <w:sz w:val="36"/>
          <w:szCs w:val="36"/>
          <w:lang w:val="en-US"/>
        </w:rPr>
        <w:t>ACER</w:t>
      </w:r>
      <w:r w:rsidR="00A737C5">
        <w:rPr>
          <w:rFonts w:ascii="Proxima Nova" w:eastAsia="Proxima Nova" w:hAnsi="Proxima Nova" w:cs="Proxima Nova"/>
          <w:b/>
          <w:color w:val="002060"/>
          <w:sz w:val="36"/>
          <w:szCs w:val="36"/>
          <w:lang w:val="en-US"/>
        </w:rPr>
        <w:t>’s</w:t>
      </w:r>
      <w:r w:rsidR="00A737C5" w:rsidRPr="00A737C5">
        <w:rPr>
          <w:rFonts w:ascii="Proxima Nova" w:eastAsia="Proxima Nova" w:hAnsi="Proxima Nova" w:cs="Proxima Nova"/>
          <w:b/>
          <w:color w:val="002060"/>
          <w:sz w:val="36"/>
          <w:szCs w:val="36"/>
          <w:lang w:val="en-US"/>
        </w:rPr>
        <w:t xml:space="preserve"> Consultation on PPA </w:t>
      </w:r>
      <w:proofErr w:type="spellStart"/>
      <w:r w:rsidR="00A737C5" w:rsidRPr="00A737C5">
        <w:rPr>
          <w:rFonts w:ascii="Proxima Nova" w:eastAsia="Proxima Nova" w:hAnsi="Proxima Nova" w:cs="Proxima Nova"/>
          <w:b/>
          <w:color w:val="002060"/>
          <w:sz w:val="36"/>
          <w:szCs w:val="36"/>
          <w:lang w:val="en-US"/>
        </w:rPr>
        <w:t>Market</w:t>
      </w:r>
      <w:proofErr w:type="spellEnd"/>
      <w:r w:rsidR="00A737C5" w:rsidRPr="00B54B9F">
        <w:rPr>
          <w:rFonts w:ascii="Proxima Nova" w:hAnsi="Proxima Nova"/>
          <w:b/>
          <w:bCs/>
          <w:sz w:val="28"/>
          <w:szCs w:val="28"/>
          <w:lang w:val="sk-SK"/>
        </w:rPr>
        <w:t xml:space="preserve"> </w:t>
      </w:r>
    </w:p>
    <w:p w14:paraId="589EB0D8" w14:textId="77777777" w:rsidR="00A737C5" w:rsidRPr="00A737C5" w:rsidRDefault="00A737C5" w:rsidP="00A737C5">
      <w:pPr>
        <w:rPr>
          <w:rFonts w:ascii="Proxima Nova" w:hAnsi="Proxima Nova"/>
          <w:b/>
          <w:bCs/>
          <w:sz w:val="28"/>
          <w:szCs w:val="28"/>
          <w:lang w:val="sk-SK"/>
        </w:rPr>
      </w:pPr>
    </w:p>
    <w:p w14:paraId="74445A5A" w14:textId="41F51716" w:rsidR="00A737C5" w:rsidRDefault="000E6A19" w:rsidP="00647E4C">
      <w:pPr>
        <w:spacing w:line="439" w:lineRule="auto"/>
        <w:rPr>
          <w:rFonts w:ascii="Proxima Nova" w:eastAsia="Proxima Nova" w:hAnsi="Proxima Nova" w:cs="Proxima Nova"/>
          <w:b/>
          <w:color w:val="F28F1A" w:themeColor="accent3"/>
          <w:lang w:val="en-US"/>
        </w:rPr>
      </w:pPr>
      <w:r>
        <w:rPr>
          <w:rFonts w:ascii="Proxima Nova" w:eastAsia="Proxima Nova" w:hAnsi="Proxima Nova" w:cs="Proxima Nova"/>
          <w:b/>
          <w:color w:val="F28F1A" w:themeColor="accent3"/>
          <w:lang w:val="en-US"/>
        </w:rPr>
        <w:t xml:space="preserve">Brussels, </w:t>
      </w:r>
      <w:r w:rsidR="00A737C5">
        <w:rPr>
          <w:rFonts w:ascii="Proxima Nova" w:eastAsia="Proxima Nova" w:hAnsi="Proxima Nova" w:cs="Proxima Nova"/>
          <w:b/>
          <w:color w:val="F28F1A" w:themeColor="accent3"/>
          <w:lang w:val="en-US"/>
        </w:rPr>
        <w:t>May 2026</w:t>
      </w:r>
    </w:p>
    <w:p w14:paraId="389B7656" w14:textId="77777777" w:rsidR="00C45963" w:rsidRDefault="00C45963" w:rsidP="00647E4C">
      <w:pPr>
        <w:spacing w:line="439" w:lineRule="auto"/>
        <w:rPr>
          <w:rFonts w:ascii="Proxima Nova" w:eastAsia="Proxima Nova" w:hAnsi="Proxima Nova" w:cs="Proxima Nova"/>
          <w:b/>
          <w:color w:val="F28F1A" w:themeColor="accent3"/>
          <w:lang w:val="en-US"/>
        </w:rPr>
      </w:pPr>
    </w:p>
    <w:p w14:paraId="041EAEEA" w14:textId="216320EE" w:rsidR="00C45963" w:rsidRPr="00C45963" w:rsidRDefault="00076F9C" w:rsidP="00647E4C">
      <w:pPr>
        <w:spacing w:line="439" w:lineRule="auto"/>
        <w:rPr>
          <w:rFonts w:ascii="Proxima Nova" w:eastAsia="Proxima Nova" w:hAnsi="Proxima Nova" w:cs="Proxima Nova"/>
          <w:b/>
          <w:color w:val="00B0F0"/>
          <w:sz w:val="28"/>
          <w:szCs w:val="28"/>
          <w:lang w:val="en-US"/>
        </w:rPr>
      </w:pPr>
      <w:r>
        <w:rPr>
          <w:rFonts w:ascii="Proxima Nova" w:eastAsia="Proxima Nova" w:hAnsi="Proxima Nova" w:cs="Proxima Nova"/>
          <w:b/>
          <w:color w:val="00B0F0"/>
          <w:sz w:val="28"/>
          <w:szCs w:val="28"/>
          <w:lang w:val="en-US"/>
        </w:rPr>
        <w:t>Key Messages</w:t>
      </w:r>
    </w:p>
    <w:p w14:paraId="72BC1CA3" w14:textId="256DD432" w:rsidR="00C45963" w:rsidRPr="00801ED1" w:rsidRDefault="00C45963" w:rsidP="00C45963">
      <w:pPr>
        <w:spacing w:line="276" w:lineRule="auto"/>
        <w:rPr>
          <w:rFonts w:ascii="Proxima Nova" w:hAnsi="Proxima Nova"/>
          <w:color w:val="000000"/>
        </w:rPr>
      </w:pPr>
      <w:r w:rsidRPr="00801ED1">
        <w:rPr>
          <w:rFonts w:ascii="Proxima Nova" w:hAnsi="Proxima Nova"/>
        </w:rPr>
        <w:t xml:space="preserve">Power Purchase Agreements (PPAs) </w:t>
      </w:r>
      <w:r w:rsidRPr="00801ED1">
        <w:rPr>
          <w:rFonts w:ascii="Proxima Nova" w:hAnsi="Proxima Nova"/>
        </w:rPr>
        <w:t>are</w:t>
      </w:r>
      <w:r w:rsidRPr="00801ED1">
        <w:rPr>
          <w:rFonts w:ascii="Proxima Nova" w:hAnsi="Proxima Nova"/>
        </w:rPr>
        <w:t xml:space="preserve"> </w:t>
      </w:r>
      <w:r w:rsidRPr="00801ED1">
        <w:rPr>
          <w:rFonts w:ascii="Proxima Nova" w:hAnsi="Proxima Nova"/>
        </w:rPr>
        <w:t xml:space="preserve">a </w:t>
      </w:r>
      <w:r w:rsidRPr="00801ED1">
        <w:rPr>
          <w:rFonts w:ascii="Proxima Nova" w:hAnsi="Proxima Nova"/>
        </w:rPr>
        <w:t xml:space="preserve">central instrument in the energy transition. </w:t>
      </w:r>
      <w:r w:rsidRPr="00801ED1">
        <w:rPr>
          <w:rFonts w:ascii="Proxima Nova" w:eastAsia="Proxima Nova" w:hAnsi="Proxima Nova" w:cs="Proxima Nova"/>
          <w:color w:val="000000" w:themeColor="text1"/>
        </w:rPr>
        <w:t xml:space="preserve">Originally used as hedging tools, </w:t>
      </w:r>
      <w:r w:rsidRPr="00801ED1">
        <w:rPr>
          <w:rFonts w:ascii="Proxima Nova" w:hAnsi="Proxima Nova"/>
          <w:color w:val="000000"/>
        </w:rPr>
        <w:t>they enable the market-based financing of low-carbon electricity generation by reducing revenue uncertainty and lowering the cost of capital for new projects. At the same time, they provide long-term price visibility, allowing consumers to hedge beyond the time horizons covered by liquid forward markets.</w:t>
      </w:r>
    </w:p>
    <w:p w14:paraId="2B141964" w14:textId="77777777" w:rsidR="00801ED1" w:rsidRPr="00801ED1" w:rsidRDefault="00801ED1" w:rsidP="00801ED1">
      <w:p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Efficient PPA markets rely on intermediaries that can manage profile, balancing, and credit risks, thereby transforming variable renewable generation into firm and bankable offtake structures. This role is essential for enabling project financing and broadening access to PPAs beyond large corporate buyers. To fully realise these benefits, the regulatory framework should support the development of PPAs while preserving efficient and competitive electricity markets. Policy measures should therefore facilitate PPA uptake in a targeted and market-based manner, without distorting price signals or crowding out existing commercial solutions.</w:t>
      </w:r>
    </w:p>
    <w:p w14:paraId="3D1ED510" w14:textId="77777777" w:rsidR="00801ED1" w:rsidRPr="00801ED1" w:rsidRDefault="00801ED1" w:rsidP="00801ED1">
      <w:p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Key policy priorities include:</w:t>
      </w:r>
    </w:p>
    <w:p w14:paraId="62E0A871" w14:textId="77777777" w:rsidR="00801ED1" w:rsidRPr="00801ED1" w:rsidRDefault="00801ED1" w:rsidP="00801ED1">
      <w:pPr>
        <w:numPr>
          <w:ilvl w:val="0"/>
          <w:numId w:val="6"/>
        </w:num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Regulatory stability to foster market confidence and investment predictability</w:t>
      </w:r>
    </w:p>
    <w:p w14:paraId="5FAAEAE3" w14:textId="009FBB35" w:rsidR="00801ED1" w:rsidRPr="00801ED1" w:rsidRDefault="00801ED1" w:rsidP="00801ED1">
      <w:pPr>
        <w:numPr>
          <w:ilvl w:val="0"/>
          <w:numId w:val="6"/>
        </w:num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 xml:space="preserve">Subsidy schemes </w:t>
      </w:r>
      <w:proofErr w:type="spellStart"/>
      <w:r>
        <w:rPr>
          <w:rFonts w:ascii="Proxima Nova" w:eastAsia="Times New Roman" w:hAnsi="Proxima Nova" w:cs="Times New Roman"/>
          <w:color w:val="000000"/>
          <w:kern w:val="0"/>
          <w:lang w:val="sk-SK" w:eastAsia="en-GB"/>
          <w14:ligatures w14:val="none"/>
        </w:rPr>
        <w:t>that</w:t>
      </w:r>
      <w:proofErr w:type="spellEnd"/>
      <w:r>
        <w:rPr>
          <w:rFonts w:ascii="Proxima Nova" w:eastAsia="Times New Roman" w:hAnsi="Proxima Nova" w:cs="Times New Roman"/>
          <w:color w:val="000000"/>
          <w:kern w:val="0"/>
          <w:lang w:val="sk-SK" w:eastAsia="en-GB"/>
          <w14:ligatures w14:val="none"/>
        </w:rPr>
        <w:t xml:space="preserve"> are </w:t>
      </w:r>
      <w:r w:rsidRPr="00801ED1">
        <w:rPr>
          <w:rFonts w:ascii="Proxima Nova" w:eastAsia="Times New Roman" w:hAnsi="Proxima Nova" w:cs="Times New Roman"/>
          <w:color w:val="000000"/>
          <w:kern w:val="0"/>
          <w:lang w:val="en-SK" w:eastAsia="en-GB"/>
          <w14:ligatures w14:val="none"/>
        </w:rPr>
        <w:t>compatible with PPAs, while preserving their commercial viability and flexibility</w:t>
      </w:r>
    </w:p>
    <w:p w14:paraId="3B01FFA0" w14:textId="77777777" w:rsidR="00801ED1" w:rsidRPr="00801ED1" w:rsidRDefault="00801ED1" w:rsidP="00801ED1">
      <w:pPr>
        <w:numPr>
          <w:ilvl w:val="0"/>
          <w:numId w:val="6"/>
        </w:num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Harmonisation of Guarantees of Origin processes across Member States</w:t>
      </w:r>
    </w:p>
    <w:p w14:paraId="56B86BF3" w14:textId="77777777" w:rsidR="00801ED1" w:rsidRPr="00801ED1" w:rsidRDefault="00801ED1" w:rsidP="00801ED1">
      <w:pPr>
        <w:numPr>
          <w:ilvl w:val="0"/>
          <w:numId w:val="6"/>
        </w:num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Introduction of multi-year Long-Term Transmission Rights (LTTRs) to support cross-border PPAs</w:t>
      </w:r>
    </w:p>
    <w:p w14:paraId="7C122669" w14:textId="77777777" w:rsidR="00801ED1" w:rsidRPr="00801ED1" w:rsidRDefault="00801ED1" w:rsidP="00801ED1">
      <w:pPr>
        <w:numPr>
          <w:ilvl w:val="0"/>
          <w:numId w:val="6"/>
        </w:num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Keeping hourly matching for Guarantees of Origin voluntary, while respecting the integrated European electricity market as the relevant boundary</w:t>
      </w:r>
    </w:p>
    <w:p w14:paraId="5F5881E1" w14:textId="77777777" w:rsidR="00801ED1" w:rsidRPr="00801ED1" w:rsidRDefault="00801ED1" w:rsidP="00801ED1">
      <w:pPr>
        <w:numPr>
          <w:ilvl w:val="0"/>
          <w:numId w:val="6"/>
        </w:numPr>
        <w:spacing w:before="100" w:beforeAutospacing="1" w:after="100" w:afterAutospacing="1" w:line="240" w:lineRule="auto"/>
        <w:rPr>
          <w:rFonts w:ascii="Proxima Nova" w:eastAsia="Times New Roman" w:hAnsi="Proxima Nova" w:cs="Times New Roman"/>
          <w:color w:val="000000"/>
          <w:kern w:val="0"/>
          <w:lang w:val="en-SK" w:eastAsia="en-GB"/>
          <w14:ligatures w14:val="none"/>
        </w:rPr>
      </w:pPr>
      <w:r w:rsidRPr="00801ED1">
        <w:rPr>
          <w:rFonts w:ascii="Proxima Nova" w:eastAsia="Times New Roman" w:hAnsi="Proxima Nova" w:cs="Times New Roman"/>
          <w:color w:val="000000"/>
          <w:kern w:val="0"/>
          <w:lang w:val="en-SK" w:eastAsia="en-GB"/>
          <w14:ligatures w14:val="none"/>
        </w:rPr>
        <w:t>A more enabling financial regulatory framework to facilitate the development of virtual PPAs</w:t>
      </w:r>
    </w:p>
    <w:p w14:paraId="6B9D5302" w14:textId="77777777" w:rsidR="00C45963" w:rsidRDefault="00C45963" w:rsidP="00647E4C">
      <w:pPr>
        <w:spacing w:line="439" w:lineRule="auto"/>
        <w:rPr>
          <w:rFonts w:ascii="Proxima Nova" w:eastAsia="Proxima Nova" w:hAnsi="Proxima Nova" w:cs="Proxima Nova"/>
          <w:b/>
          <w:color w:val="F28F1A" w:themeColor="accent3"/>
          <w:lang w:val="en-US"/>
        </w:rPr>
      </w:pPr>
    </w:p>
    <w:p w14:paraId="781D7A05" w14:textId="77777777" w:rsidR="00C45963" w:rsidRDefault="00C45963" w:rsidP="00647E4C">
      <w:pPr>
        <w:spacing w:line="439" w:lineRule="auto"/>
        <w:rPr>
          <w:rFonts w:ascii="Proxima Nova" w:eastAsia="Proxima Nova" w:hAnsi="Proxima Nova" w:cs="Proxima Nova"/>
          <w:b/>
          <w:color w:val="F28F1A" w:themeColor="accent3"/>
          <w:lang w:val="en-US"/>
        </w:rPr>
      </w:pPr>
    </w:p>
    <w:p w14:paraId="3424A010" w14:textId="77777777" w:rsidR="00C0754C" w:rsidRDefault="00C0754C" w:rsidP="00647E4C">
      <w:pPr>
        <w:spacing w:line="439" w:lineRule="auto"/>
        <w:rPr>
          <w:rFonts w:ascii="Proxima Nova" w:eastAsia="Proxima Nova" w:hAnsi="Proxima Nova" w:cs="Proxima Nova"/>
          <w:b/>
          <w:color w:val="F28F1A" w:themeColor="accent3"/>
          <w:lang w:val="en-US"/>
        </w:rPr>
      </w:pPr>
    </w:p>
    <w:p w14:paraId="0A2B468A" w14:textId="77777777" w:rsidR="00C0754C" w:rsidRDefault="00C0754C" w:rsidP="00647E4C">
      <w:pPr>
        <w:spacing w:line="439" w:lineRule="auto"/>
        <w:rPr>
          <w:rFonts w:ascii="Proxima Nova" w:eastAsia="Proxima Nova" w:hAnsi="Proxima Nova" w:cs="Proxima Nova"/>
          <w:b/>
          <w:color w:val="F28F1A" w:themeColor="accent3"/>
          <w:lang w:val="en-US"/>
        </w:rPr>
      </w:pPr>
    </w:p>
    <w:p w14:paraId="6A394194" w14:textId="77777777" w:rsidR="00C33468" w:rsidRDefault="00C33468" w:rsidP="00C33468">
      <w:pPr>
        <w:spacing w:line="276" w:lineRule="auto"/>
        <w:rPr>
          <w:rFonts w:ascii="Proxima Nova" w:eastAsia="Aptos" w:hAnsi="Proxima Nova" w:cs="Aptos"/>
          <w:color w:val="000000" w:themeColor="text1"/>
        </w:rPr>
      </w:pPr>
    </w:p>
    <w:p w14:paraId="2ED1BD02" w14:textId="6DDD483B" w:rsidR="00A737C5" w:rsidRDefault="00A737C5" w:rsidP="00A737C5">
      <w:pPr>
        <w:rPr>
          <w:rFonts w:ascii="Proxima Nova" w:hAnsi="Proxima Nova"/>
          <w:b/>
          <w:bCs/>
          <w:color w:val="00B0F0"/>
          <w:sz w:val="28"/>
          <w:szCs w:val="28"/>
          <w:lang w:val="sk-SK"/>
        </w:rPr>
      </w:pPr>
      <w:proofErr w:type="spellStart"/>
      <w:r w:rsidRPr="00A737C5">
        <w:rPr>
          <w:rFonts w:ascii="Proxima Nova" w:hAnsi="Proxima Nova"/>
          <w:b/>
          <w:bCs/>
          <w:color w:val="00B0F0"/>
          <w:sz w:val="28"/>
          <w:szCs w:val="28"/>
          <w:lang w:val="sk-SK"/>
        </w:rPr>
        <w:t>Detailed</w:t>
      </w:r>
      <w:proofErr w:type="spellEnd"/>
      <w:r w:rsidRPr="00A737C5">
        <w:rPr>
          <w:rFonts w:ascii="Proxima Nova" w:hAnsi="Proxima Nova"/>
          <w:b/>
          <w:bCs/>
          <w:color w:val="00B0F0"/>
          <w:sz w:val="28"/>
          <w:szCs w:val="28"/>
          <w:lang w:val="sk-SK"/>
        </w:rPr>
        <w:t xml:space="preserve"> </w:t>
      </w:r>
      <w:proofErr w:type="spellStart"/>
      <w:r w:rsidR="004621EA">
        <w:rPr>
          <w:rFonts w:ascii="Proxima Nova" w:hAnsi="Proxima Nova"/>
          <w:b/>
          <w:bCs/>
          <w:color w:val="00B0F0"/>
          <w:sz w:val="28"/>
          <w:szCs w:val="28"/>
          <w:lang w:val="sk-SK"/>
        </w:rPr>
        <w:t>comments</w:t>
      </w:r>
      <w:proofErr w:type="spellEnd"/>
    </w:p>
    <w:p w14:paraId="5FF8FB68" w14:textId="77777777" w:rsidR="00A9396B" w:rsidRPr="00A9396B" w:rsidRDefault="00A9396B" w:rsidP="00A9396B">
      <w:pPr>
        <w:pBdr>
          <w:bottom w:val="single" w:sz="6" w:space="1" w:color="1F3864"/>
        </w:pBdr>
        <w:spacing w:before="400" w:after="200"/>
        <w:rPr>
          <w:color w:val="002060"/>
        </w:rPr>
      </w:pPr>
      <w:r w:rsidRPr="00A9396B">
        <w:rPr>
          <w:rFonts w:ascii="Proxima Nova" w:eastAsia="Proxima Nova" w:hAnsi="Proxima Nova" w:cs="Proxima Nova"/>
          <w:b/>
          <w:bCs/>
          <w:color w:val="002060"/>
          <w:sz w:val="28"/>
          <w:szCs w:val="28"/>
        </w:rPr>
        <w:t>State-backed guarantees (as credit support)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3713"/>
        <w:gridCol w:w="3713"/>
      </w:tblGrid>
      <w:tr w:rsidR="00A9396B" w14:paraId="626FF3DB" w14:textId="77777777" w:rsidTr="00A9396B">
        <w:tblPrEx>
          <w:tblCellMar>
            <w:top w:w="0" w:type="dxa"/>
            <w:bottom w:w="0" w:type="dxa"/>
          </w:tblCellMar>
        </w:tblPrEx>
        <w:trPr>
          <w:tblHeader/>
        </w:trPr>
        <w:tc>
          <w:tcPr>
            <w:tcW w:w="1600"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6DD19B65" w14:textId="77777777" w:rsidR="00A9396B" w:rsidRDefault="00A9396B" w:rsidP="003058C7">
            <w:r>
              <w:rPr>
                <w:rFonts w:ascii="Proxima Nova" w:eastAsia="Proxima Nova" w:hAnsi="Proxima Nova" w:cs="Proxima Nova"/>
                <w:b/>
                <w:bCs/>
                <w:color w:val="FFFFFF"/>
                <w:sz w:val="20"/>
                <w:szCs w:val="20"/>
              </w:rPr>
              <w:t>Country / Scheme</w:t>
            </w:r>
          </w:p>
        </w:tc>
        <w:tc>
          <w:tcPr>
            <w:tcW w:w="3713"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1D4370FF" w14:textId="77777777" w:rsidR="00A9396B" w:rsidRDefault="00A9396B" w:rsidP="003058C7">
            <w:r>
              <w:rPr>
                <w:rFonts w:ascii="Proxima Nova" w:eastAsia="Proxima Nova" w:hAnsi="Proxima Nova" w:cs="Proxima Nova"/>
                <w:b/>
                <w:bCs/>
                <w:color w:val="FFFFFF"/>
                <w:sz w:val="20"/>
                <w:szCs w:val="20"/>
              </w:rPr>
              <w:t>Advantages</w:t>
            </w:r>
          </w:p>
        </w:tc>
        <w:tc>
          <w:tcPr>
            <w:tcW w:w="3713"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3F52B17E" w14:textId="77777777" w:rsidR="00A9396B" w:rsidRDefault="00A9396B" w:rsidP="003058C7">
            <w:r>
              <w:rPr>
                <w:rFonts w:ascii="Proxima Nova" w:eastAsia="Proxima Nova" w:hAnsi="Proxima Nova" w:cs="Proxima Nova"/>
                <w:b/>
                <w:bCs/>
                <w:color w:val="FFFFFF"/>
                <w:sz w:val="20"/>
                <w:szCs w:val="20"/>
              </w:rPr>
              <w:t>Limitations</w:t>
            </w:r>
          </w:p>
        </w:tc>
      </w:tr>
      <w:tr w:rsidR="00A9396B" w14:paraId="5511A7C0" w14:textId="77777777" w:rsidTr="003058C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BEB0487" w14:textId="77777777" w:rsidR="00A9396B" w:rsidRDefault="00A9396B" w:rsidP="003058C7">
            <w:pPr>
              <w:spacing w:before="20" w:after="20"/>
            </w:pPr>
            <w:r>
              <w:rPr>
                <w:rFonts w:ascii="Proxima Nova" w:eastAsia="Proxima Nova" w:hAnsi="Proxima Nova" w:cs="Proxima Nova"/>
                <w:b/>
                <w:bCs/>
                <w:sz w:val="18"/>
                <w:szCs w:val="18"/>
              </w:rPr>
              <w:t>Spain</w:t>
            </w:r>
          </w:p>
          <w:p w14:paraId="0219A56F" w14:textId="77777777" w:rsidR="00A9396B" w:rsidRDefault="00A9396B" w:rsidP="003058C7">
            <w:pPr>
              <w:spacing w:before="20" w:after="20"/>
            </w:pPr>
            <w:r>
              <w:rPr>
                <w:rFonts w:ascii="Proxima Nova" w:eastAsia="Proxima Nova" w:hAnsi="Proxima Nova" w:cs="Proxima Nova"/>
                <w:sz w:val="16"/>
                <w:szCs w:val="16"/>
              </w:rPr>
              <w:t>FERGEI (CESCE)</w:t>
            </w:r>
          </w:p>
        </w:tc>
        <w:tc>
          <w:tcPr>
            <w:tcW w:w="37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CEC4680"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Covers up to 80% of PPA termination value in case of default</w:t>
            </w:r>
          </w:p>
          <w:p w14:paraId="7F5978A9"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Reduces counterparty risk and facilitates access to project finance</w:t>
            </w:r>
          </w:p>
          <w:p w14:paraId="2676EC46"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Spanish State acts as ultimate guarantor or insurer</w:t>
            </w:r>
          </w:p>
          <w:p w14:paraId="3B52FD17"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Transfers credit risk from financial institutions to the scheme</w:t>
            </w:r>
          </w:p>
        </w:tc>
        <w:tc>
          <w:tcPr>
            <w:tcW w:w="37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9C43604"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Currently restricted to electro-intensive consumers; SMEs and other industrial buyers are not eligible</w:t>
            </w:r>
          </w:p>
          <w:p w14:paraId="77592F69"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Only one PPA publicly disclosed since operational launch in 2020</w:t>
            </w:r>
          </w:p>
          <w:p w14:paraId="337CC801"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CESCE reportedly reserves the right to cancel the guarantee, creating uncertainty</w:t>
            </w:r>
          </w:p>
        </w:tc>
      </w:tr>
      <w:tr w:rsidR="00A9396B" w14:paraId="3FF7F51B" w14:textId="77777777" w:rsidTr="003058C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15D6557" w14:textId="77777777" w:rsidR="00A9396B" w:rsidRDefault="00A9396B" w:rsidP="003058C7">
            <w:pPr>
              <w:spacing w:before="20" w:after="20"/>
            </w:pPr>
            <w:r>
              <w:rPr>
                <w:rFonts w:ascii="Proxima Nova" w:eastAsia="Proxima Nova" w:hAnsi="Proxima Nova" w:cs="Proxima Nova"/>
                <w:b/>
                <w:bCs/>
                <w:sz w:val="18"/>
                <w:szCs w:val="18"/>
              </w:rPr>
              <w:t>Norway</w:t>
            </w:r>
          </w:p>
          <w:p w14:paraId="1705865C" w14:textId="77777777" w:rsidR="00A9396B" w:rsidRDefault="00A9396B" w:rsidP="003058C7">
            <w:pPr>
              <w:spacing w:before="20" w:after="20"/>
            </w:pPr>
            <w:proofErr w:type="spellStart"/>
            <w:r>
              <w:rPr>
                <w:rFonts w:ascii="Proxima Nova" w:eastAsia="Proxima Nova" w:hAnsi="Proxima Nova" w:cs="Proxima Nova"/>
                <w:sz w:val="16"/>
                <w:szCs w:val="16"/>
              </w:rPr>
              <w:t>Eksfin</w:t>
            </w:r>
            <w:proofErr w:type="spellEnd"/>
          </w:p>
        </w:tc>
        <w:tc>
          <w:tcPr>
            <w:tcW w:w="3713"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A004366"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 xml:space="preserve">Can guarantee almost the entire payment obligation on behalf of the </w:t>
            </w:r>
            <w:proofErr w:type="spellStart"/>
            <w:r>
              <w:rPr>
                <w:rFonts w:ascii="Proxima Nova" w:eastAsia="Proxima Nova" w:hAnsi="Proxima Nova" w:cs="Proxima Nova"/>
                <w:sz w:val="18"/>
                <w:szCs w:val="18"/>
              </w:rPr>
              <w:t>offtaker</w:t>
            </w:r>
            <w:proofErr w:type="spellEnd"/>
            <w:r>
              <w:rPr>
                <w:rFonts w:ascii="Proxima Nova" w:eastAsia="Proxima Nova" w:hAnsi="Proxima Nova" w:cs="Proxima Nova"/>
                <w:sz w:val="18"/>
                <w:szCs w:val="18"/>
              </w:rPr>
              <w:t xml:space="preserve"> for up to 25 years</w:t>
            </w:r>
          </w:p>
          <w:p w14:paraId="072680F1"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Technology-neutral (wind, hydro, solar)</w:t>
            </w:r>
          </w:p>
          <w:p w14:paraId="6B2D4BB4"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 xml:space="preserve">Applicable to physical and financial PPAs; open to non-Norwegian </w:t>
            </w:r>
            <w:proofErr w:type="spellStart"/>
            <w:r>
              <w:rPr>
                <w:rFonts w:ascii="Proxima Nova" w:eastAsia="Proxima Nova" w:hAnsi="Proxima Nova" w:cs="Proxima Nova"/>
                <w:sz w:val="18"/>
                <w:szCs w:val="18"/>
              </w:rPr>
              <w:t>offtakers</w:t>
            </w:r>
            <w:proofErr w:type="spellEnd"/>
          </w:p>
        </w:tc>
        <w:tc>
          <w:tcPr>
            <w:tcW w:w="3713"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3BE3466"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Limited to power-intensive industries</w:t>
            </w:r>
          </w:p>
          <w:p w14:paraId="72ECF834" w14:textId="77777777" w:rsidR="00A9396B" w:rsidRDefault="00A9396B" w:rsidP="00801ED1">
            <w:pPr>
              <w:pStyle w:val="ListParagraph"/>
              <w:numPr>
                <w:ilvl w:val="0"/>
                <w:numId w:val="5"/>
              </w:numPr>
              <w:spacing w:line="240" w:lineRule="auto"/>
              <w:contextualSpacing w:val="0"/>
            </w:pPr>
            <w:proofErr w:type="spellStart"/>
            <w:r>
              <w:rPr>
                <w:rFonts w:ascii="Proxima Nova" w:eastAsia="Proxima Nova" w:hAnsi="Proxima Nova" w:cs="Proxima Nova"/>
                <w:sz w:val="18"/>
                <w:szCs w:val="18"/>
              </w:rPr>
              <w:t>Eksfin</w:t>
            </w:r>
            <w:proofErr w:type="spellEnd"/>
            <w:r>
              <w:rPr>
                <w:rFonts w:ascii="Proxima Nova" w:eastAsia="Proxima Nova" w:hAnsi="Proxima Nova" w:cs="Proxima Nova"/>
                <w:sz w:val="18"/>
                <w:szCs w:val="18"/>
              </w:rPr>
              <w:t xml:space="preserve"> may replace the buyer during a default, reducing producer flexibility to re-market or terminate</w:t>
            </w:r>
          </w:p>
          <w:p w14:paraId="07FAEA37"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Only a handful of PPAs concluded under the scheme</w:t>
            </w:r>
          </w:p>
        </w:tc>
      </w:tr>
      <w:tr w:rsidR="00A9396B" w14:paraId="52683F43" w14:textId="77777777" w:rsidTr="003058C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682DE55" w14:textId="77777777" w:rsidR="00A9396B" w:rsidRDefault="00A9396B" w:rsidP="003058C7">
            <w:pPr>
              <w:spacing w:before="20" w:after="20"/>
            </w:pPr>
            <w:r>
              <w:rPr>
                <w:rFonts w:ascii="Proxima Nova" w:eastAsia="Proxima Nova" w:hAnsi="Proxima Nova" w:cs="Proxima Nova"/>
                <w:b/>
                <w:bCs/>
                <w:sz w:val="18"/>
                <w:szCs w:val="18"/>
              </w:rPr>
              <w:t>Italy</w:t>
            </w:r>
          </w:p>
          <w:p w14:paraId="05982E56" w14:textId="77777777" w:rsidR="00A9396B" w:rsidRDefault="00A9396B" w:rsidP="003058C7">
            <w:pPr>
              <w:spacing w:before="20" w:after="20"/>
            </w:pPr>
            <w:r>
              <w:rPr>
                <w:rFonts w:ascii="Proxima Nova" w:eastAsia="Proxima Nova" w:hAnsi="Proxima Nova" w:cs="Proxima Nova"/>
                <w:sz w:val="16"/>
                <w:szCs w:val="16"/>
              </w:rPr>
              <w:t>GSE Last Resort Guarantee</w:t>
            </w:r>
          </w:p>
        </w:tc>
        <w:tc>
          <w:tcPr>
            <w:tcW w:w="37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3A364959"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Multi-tier model: GSE acts as guarantor of last resort, backed by a 70% SACE counter-guarantee (2026 Energy Decree)</w:t>
            </w:r>
          </w:p>
          <w:p w14:paraId="4FA8A656"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 xml:space="preserve">Integrated with </w:t>
            </w:r>
            <w:proofErr w:type="spellStart"/>
            <w:r>
              <w:rPr>
                <w:rFonts w:ascii="Proxima Nova" w:eastAsia="Proxima Nova" w:hAnsi="Proxima Nova" w:cs="Proxima Nova"/>
                <w:sz w:val="18"/>
                <w:szCs w:val="18"/>
              </w:rPr>
              <w:t>Bacheca</w:t>
            </w:r>
            <w:proofErr w:type="spellEnd"/>
            <w:r>
              <w:rPr>
                <w:rFonts w:ascii="Proxima Nova" w:eastAsia="Proxima Nova" w:hAnsi="Proxima Nova" w:cs="Proxima Nova"/>
                <w:sz w:val="18"/>
                <w:szCs w:val="18"/>
              </w:rPr>
              <w:t xml:space="preserve"> PPA (GME bulletin board)</w:t>
            </w:r>
          </w:p>
          <w:p w14:paraId="14020444" w14:textId="77777777" w:rsidR="00A9396B" w:rsidRDefault="00A9396B" w:rsidP="00801ED1">
            <w:pPr>
              <w:pStyle w:val="ListParagraph"/>
              <w:numPr>
                <w:ilvl w:val="0"/>
                <w:numId w:val="5"/>
              </w:numPr>
              <w:spacing w:line="240" w:lineRule="auto"/>
              <w:contextualSpacing w:val="0"/>
            </w:pPr>
            <w:proofErr w:type="spellStart"/>
            <w:r>
              <w:rPr>
                <w:rFonts w:ascii="Proxima Nova" w:eastAsia="Proxima Nova" w:hAnsi="Proxima Nova" w:cs="Proxima Nova"/>
                <w:sz w:val="18"/>
                <w:szCs w:val="18"/>
              </w:rPr>
              <w:t>Acquirente</w:t>
            </w:r>
            <w:proofErr w:type="spellEnd"/>
            <w:r>
              <w:rPr>
                <w:rFonts w:ascii="Proxima Nova" w:eastAsia="Proxima Nova" w:hAnsi="Proxima Nova" w:cs="Proxima Nova"/>
                <w:sz w:val="18"/>
                <w:szCs w:val="18"/>
              </w:rPr>
              <w:t xml:space="preserve"> Unico facilitates SME demand aggregation without entering transactions</w:t>
            </w:r>
          </w:p>
          <w:p w14:paraId="2C6A6212"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Bridges the credit risk gap for SMEs without creating contractual ties</w:t>
            </w:r>
          </w:p>
        </w:tc>
        <w:tc>
          <w:tcPr>
            <w:tcW w:w="37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8411D51"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Final operational rules under the 2026 Energy Decree are still to be defined</w:t>
            </w:r>
          </w:p>
          <w:p w14:paraId="450E588F"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GSE fund does not always cover the full credit risk; access restricted to 'eligible players' meeting minimum solvency standards or pooled aggregation models</w:t>
            </w:r>
          </w:p>
        </w:tc>
      </w:tr>
      <w:tr w:rsidR="00A9396B" w14:paraId="1E6373C6" w14:textId="77777777" w:rsidTr="003058C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44FDAF7" w14:textId="77777777" w:rsidR="00A9396B" w:rsidRDefault="00A9396B" w:rsidP="003058C7">
            <w:pPr>
              <w:spacing w:before="20" w:after="20"/>
            </w:pPr>
            <w:r>
              <w:rPr>
                <w:rFonts w:ascii="Proxima Nova" w:eastAsia="Proxima Nova" w:hAnsi="Proxima Nova" w:cs="Proxima Nova"/>
                <w:b/>
                <w:bCs/>
                <w:sz w:val="18"/>
                <w:szCs w:val="18"/>
              </w:rPr>
              <w:t>Portugal</w:t>
            </w:r>
          </w:p>
          <w:p w14:paraId="068FDF3F" w14:textId="77777777" w:rsidR="00A9396B" w:rsidRDefault="00A9396B" w:rsidP="003058C7">
            <w:pPr>
              <w:spacing w:before="20" w:after="20"/>
            </w:pPr>
            <w:r>
              <w:rPr>
                <w:rFonts w:ascii="Proxima Nova" w:eastAsia="Proxima Nova" w:hAnsi="Proxima Nova" w:cs="Proxima Nova"/>
                <w:sz w:val="16"/>
                <w:szCs w:val="16"/>
              </w:rPr>
              <w:t>ECE Risk Cover</w:t>
            </w:r>
          </w:p>
        </w:tc>
        <w:tc>
          <w:tcPr>
            <w:tcW w:w="3713"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8741920"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 xml:space="preserve">Risk coverage via Mutual Guarantee Societies, with counter-guarantee by the Mutual Counter Guarantee Fund managed by Banco </w:t>
            </w:r>
            <w:proofErr w:type="spellStart"/>
            <w:r>
              <w:rPr>
                <w:rFonts w:ascii="Proxima Nova" w:eastAsia="Proxima Nova" w:hAnsi="Proxima Nova" w:cs="Proxima Nova"/>
                <w:sz w:val="18"/>
                <w:szCs w:val="18"/>
              </w:rPr>
              <w:t>Português</w:t>
            </w:r>
            <w:proofErr w:type="spellEnd"/>
            <w:r>
              <w:rPr>
                <w:rFonts w:ascii="Proxima Nova" w:eastAsia="Proxima Nova" w:hAnsi="Proxima Nova" w:cs="Proxima Nova"/>
                <w:sz w:val="18"/>
                <w:szCs w:val="18"/>
              </w:rPr>
              <w:t xml:space="preserve"> de </w:t>
            </w:r>
            <w:proofErr w:type="spellStart"/>
            <w:r>
              <w:rPr>
                <w:rFonts w:ascii="Proxima Nova" w:eastAsia="Proxima Nova" w:hAnsi="Proxima Nova" w:cs="Proxima Nova"/>
                <w:sz w:val="18"/>
                <w:szCs w:val="18"/>
              </w:rPr>
              <w:t>Fomento</w:t>
            </w:r>
            <w:proofErr w:type="spellEnd"/>
          </w:p>
          <w:p w14:paraId="78F4C507"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 xml:space="preserve">Reduces </w:t>
            </w:r>
            <w:proofErr w:type="spellStart"/>
            <w:r>
              <w:rPr>
                <w:rFonts w:ascii="Proxima Nova" w:eastAsia="Proxima Nova" w:hAnsi="Proxima Nova" w:cs="Proxima Nova"/>
                <w:sz w:val="18"/>
                <w:szCs w:val="18"/>
              </w:rPr>
              <w:t>offtaker</w:t>
            </w:r>
            <w:proofErr w:type="spellEnd"/>
            <w:r>
              <w:rPr>
                <w:rFonts w:ascii="Proxima Nova" w:eastAsia="Proxima Nova" w:hAnsi="Proxima Nova" w:cs="Proxima Nova"/>
                <w:sz w:val="18"/>
                <w:szCs w:val="18"/>
              </w:rPr>
              <w:t xml:space="preserve"> default risk and improves PPA bankability</w:t>
            </w:r>
          </w:p>
        </w:tc>
        <w:tc>
          <w:tcPr>
            <w:tcW w:w="3713"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13786AA"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Restricted to electro-intensive consumers; applies only to bilateral contracts with minimum 5-year duration and 10% annual volume</w:t>
            </w:r>
          </w:p>
          <w:p w14:paraId="2A3621F8"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Coverage capped at 80%; operates through mutual guarantee structures, not a direct sovereign guarantee</w:t>
            </w:r>
          </w:p>
          <w:p w14:paraId="79C1E462" w14:textId="77777777" w:rsidR="00A9396B" w:rsidRDefault="00A9396B" w:rsidP="00801ED1">
            <w:pPr>
              <w:pStyle w:val="ListParagraph"/>
              <w:numPr>
                <w:ilvl w:val="0"/>
                <w:numId w:val="5"/>
              </w:numPr>
              <w:spacing w:line="240" w:lineRule="auto"/>
              <w:contextualSpacing w:val="0"/>
            </w:pPr>
            <w:r>
              <w:rPr>
                <w:rFonts w:ascii="Proxima Nova" w:eastAsia="Proxima Nova" w:hAnsi="Proxima Nova" w:cs="Proxima Nova"/>
                <w:sz w:val="18"/>
                <w:szCs w:val="18"/>
              </w:rPr>
              <w:t>Subject to EU State aid rules</w:t>
            </w:r>
          </w:p>
        </w:tc>
      </w:tr>
    </w:tbl>
    <w:p w14:paraId="685D2342" w14:textId="77777777" w:rsidR="00A9396B" w:rsidRPr="00A9396B" w:rsidRDefault="00A9396B" w:rsidP="00A9396B">
      <w:pPr>
        <w:pBdr>
          <w:bottom w:val="single" w:sz="6" w:space="1" w:color="1F3864"/>
        </w:pBdr>
        <w:spacing w:before="400" w:after="200"/>
        <w:rPr>
          <w:color w:val="002060"/>
        </w:rPr>
      </w:pPr>
      <w:r w:rsidRPr="00A9396B">
        <w:rPr>
          <w:rFonts w:ascii="Proxima Nova" w:eastAsia="Proxima Nova" w:hAnsi="Proxima Nova" w:cs="Proxima Nova"/>
          <w:b/>
          <w:bCs/>
          <w:color w:val="002060"/>
          <w:sz w:val="28"/>
          <w:szCs w:val="28"/>
        </w:rPr>
        <w:lastRenderedPageBreak/>
        <w:t>PPA platforms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526"/>
      </w:tblGrid>
      <w:tr w:rsidR="00A9396B" w14:paraId="2333131E" w14:textId="77777777" w:rsidTr="00A9396B">
        <w:tblPrEx>
          <w:tblCellMar>
            <w:top w:w="0" w:type="dxa"/>
            <w:bottom w:w="0" w:type="dxa"/>
          </w:tblCellMar>
        </w:tblPrEx>
        <w:trPr>
          <w:tblHeader/>
        </w:trPr>
        <w:tc>
          <w:tcPr>
            <w:tcW w:w="2500"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581E7AE2" w14:textId="77777777" w:rsidR="00A9396B" w:rsidRDefault="00A9396B" w:rsidP="003058C7">
            <w:r>
              <w:rPr>
                <w:rFonts w:ascii="Proxima Nova" w:eastAsia="Proxima Nova" w:hAnsi="Proxima Nova" w:cs="Proxima Nova"/>
                <w:b/>
                <w:bCs/>
                <w:color w:val="FFFFFF"/>
                <w:sz w:val="20"/>
                <w:szCs w:val="20"/>
              </w:rPr>
              <w:t>Name</w:t>
            </w:r>
          </w:p>
        </w:tc>
        <w:tc>
          <w:tcPr>
            <w:tcW w:w="6526"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245D1D20" w14:textId="77777777" w:rsidR="00A9396B" w:rsidRDefault="00A9396B" w:rsidP="003058C7">
            <w:r>
              <w:rPr>
                <w:rFonts w:ascii="Proxima Nova" w:eastAsia="Proxima Nova" w:hAnsi="Proxima Nova" w:cs="Proxima Nova"/>
                <w:b/>
                <w:bCs/>
                <w:color w:val="FFFFFF"/>
                <w:sz w:val="20"/>
                <w:szCs w:val="20"/>
              </w:rPr>
              <w:t>Description</w:t>
            </w:r>
          </w:p>
        </w:tc>
      </w:tr>
      <w:tr w:rsidR="00A9396B" w14:paraId="2EC0C1EA"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9712C1A" w14:textId="77777777" w:rsidR="00A9396B" w:rsidRDefault="00A9396B" w:rsidP="003058C7">
            <w:pPr>
              <w:spacing w:before="20" w:after="20"/>
            </w:pPr>
            <w:proofErr w:type="spellStart"/>
            <w:r>
              <w:rPr>
                <w:rFonts w:ascii="Proxima Nova" w:eastAsia="Proxima Nova" w:hAnsi="Proxima Nova" w:cs="Proxima Nova"/>
                <w:b/>
                <w:bCs/>
                <w:sz w:val="18"/>
                <w:szCs w:val="18"/>
              </w:rPr>
              <w:t>Pexapark</w:t>
            </w:r>
            <w:proofErr w:type="spellEnd"/>
          </w:p>
        </w:tc>
        <w:tc>
          <w:tcPr>
            <w:tcW w:w="6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5B5E938" w14:textId="77777777" w:rsidR="00A9396B" w:rsidRDefault="00A9396B" w:rsidP="003058C7">
            <w:pPr>
              <w:spacing w:before="20" w:after="20"/>
            </w:pPr>
            <w:r>
              <w:rPr>
                <w:rFonts w:ascii="Proxima Nova" w:eastAsia="Proxima Nova" w:hAnsi="Proxima Nova" w:cs="Proxima Nova"/>
                <w:sz w:val="18"/>
                <w:szCs w:val="18"/>
              </w:rPr>
              <w:t>Price intelligence and PPA benchmarks</w:t>
            </w:r>
          </w:p>
        </w:tc>
      </w:tr>
      <w:tr w:rsidR="00A9396B" w14:paraId="2CD0497E"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3DC0D2B" w14:textId="77777777" w:rsidR="00A9396B" w:rsidRDefault="00A9396B" w:rsidP="003058C7">
            <w:pPr>
              <w:spacing w:before="20" w:after="20"/>
            </w:pPr>
            <w:r>
              <w:rPr>
                <w:rFonts w:ascii="Proxima Nova" w:eastAsia="Proxima Nova" w:hAnsi="Proxima Nova" w:cs="Proxima Nova"/>
                <w:b/>
                <w:bCs/>
                <w:sz w:val="18"/>
                <w:szCs w:val="18"/>
              </w:rPr>
              <w:t>Re-Source Platform</w:t>
            </w:r>
          </w:p>
        </w:tc>
        <w:tc>
          <w:tcPr>
            <w:tcW w:w="652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BF1F853" w14:textId="77777777" w:rsidR="00A9396B" w:rsidRDefault="00A9396B" w:rsidP="003058C7">
            <w:pPr>
              <w:spacing w:before="20" w:after="20"/>
            </w:pPr>
            <w:r>
              <w:rPr>
                <w:rFonts w:ascii="Proxima Nova" w:eastAsia="Proxima Nova" w:hAnsi="Proxima Nova" w:cs="Proxima Nova"/>
                <w:sz w:val="18"/>
                <w:szCs w:val="18"/>
              </w:rPr>
              <w:t>PPA tracker, guidance and tools for PPAs, buyers/sellers matchmaking</w:t>
            </w:r>
          </w:p>
        </w:tc>
      </w:tr>
      <w:tr w:rsidR="00A9396B" w14:paraId="78AD2341"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DA0293C" w14:textId="77777777" w:rsidR="00A9396B" w:rsidRDefault="00A9396B" w:rsidP="003058C7">
            <w:pPr>
              <w:spacing w:before="20" w:after="20"/>
            </w:pPr>
            <w:proofErr w:type="spellStart"/>
            <w:r>
              <w:rPr>
                <w:rFonts w:ascii="Proxima Nova" w:eastAsia="Proxima Nova" w:hAnsi="Proxima Nova" w:cs="Proxima Nova"/>
                <w:b/>
                <w:bCs/>
                <w:sz w:val="18"/>
                <w:szCs w:val="18"/>
              </w:rPr>
              <w:t>Ecorus</w:t>
            </w:r>
            <w:proofErr w:type="spellEnd"/>
          </w:p>
        </w:tc>
        <w:tc>
          <w:tcPr>
            <w:tcW w:w="6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145AC10F" w14:textId="77777777" w:rsidR="00A9396B" w:rsidRDefault="00A9396B" w:rsidP="003058C7">
            <w:pPr>
              <w:spacing w:before="20" w:after="20"/>
            </w:pPr>
            <w:r>
              <w:rPr>
                <w:rFonts w:ascii="Proxima Nova" w:eastAsia="Proxima Nova" w:hAnsi="Proxima Nova" w:cs="Proxima Nova"/>
                <w:sz w:val="18"/>
                <w:szCs w:val="18"/>
              </w:rPr>
              <w:t>PPA marketplace</w:t>
            </w:r>
          </w:p>
        </w:tc>
      </w:tr>
      <w:tr w:rsidR="00A9396B" w14:paraId="753F878A"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52E6768" w14:textId="77777777" w:rsidR="00A9396B" w:rsidRDefault="00A9396B" w:rsidP="003058C7">
            <w:pPr>
              <w:spacing w:before="20" w:after="20"/>
            </w:pPr>
            <w:proofErr w:type="spellStart"/>
            <w:r>
              <w:rPr>
                <w:rFonts w:ascii="Proxima Nova" w:eastAsia="Proxima Nova" w:hAnsi="Proxima Nova" w:cs="Proxima Nova"/>
                <w:b/>
                <w:bCs/>
                <w:sz w:val="18"/>
                <w:szCs w:val="18"/>
              </w:rPr>
              <w:t>LevelTen</w:t>
            </w:r>
            <w:proofErr w:type="spellEnd"/>
            <w:r>
              <w:rPr>
                <w:rFonts w:ascii="Proxima Nova" w:eastAsia="Proxima Nova" w:hAnsi="Proxima Nova" w:cs="Proxima Nova"/>
                <w:b/>
                <w:bCs/>
                <w:sz w:val="18"/>
                <w:szCs w:val="18"/>
              </w:rPr>
              <w:t xml:space="preserve"> Energy</w:t>
            </w:r>
          </w:p>
        </w:tc>
        <w:tc>
          <w:tcPr>
            <w:tcW w:w="652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041BEC0" w14:textId="77777777" w:rsidR="00A9396B" w:rsidRDefault="00A9396B" w:rsidP="003058C7">
            <w:pPr>
              <w:spacing w:before="20" w:after="20"/>
            </w:pPr>
            <w:r>
              <w:rPr>
                <w:rFonts w:ascii="Proxima Nova" w:eastAsia="Proxima Nova" w:hAnsi="Proxima Nova" w:cs="Proxima Nova"/>
                <w:sz w:val="18"/>
                <w:szCs w:val="18"/>
              </w:rPr>
              <w:t>Transaction infrastructure for buyers, sellers, advisors, and financiers in the renewable energy economy</w:t>
            </w:r>
          </w:p>
        </w:tc>
      </w:tr>
      <w:tr w:rsidR="00A9396B" w14:paraId="40D9D58A"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13FB764" w14:textId="77777777" w:rsidR="00A9396B" w:rsidRDefault="00A9396B" w:rsidP="003058C7">
            <w:pPr>
              <w:spacing w:before="20" w:after="20"/>
            </w:pPr>
            <w:proofErr w:type="spellStart"/>
            <w:r>
              <w:rPr>
                <w:rFonts w:ascii="Proxima Nova" w:eastAsia="Proxima Nova" w:hAnsi="Proxima Nova" w:cs="Proxima Nova"/>
                <w:b/>
                <w:bCs/>
                <w:sz w:val="18"/>
                <w:szCs w:val="18"/>
              </w:rPr>
              <w:t>Zeigo</w:t>
            </w:r>
            <w:proofErr w:type="spellEnd"/>
            <w:r>
              <w:rPr>
                <w:rFonts w:ascii="Proxima Nova" w:eastAsia="Proxima Nova" w:hAnsi="Proxima Nova" w:cs="Proxima Nova"/>
                <w:b/>
                <w:bCs/>
                <w:sz w:val="18"/>
                <w:szCs w:val="18"/>
              </w:rPr>
              <w:t xml:space="preserve"> &amp; Schneider Electric</w:t>
            </w:r>
          </w:p>
        </w:tc>
        <w:tc>
          <w:tcPr>
            <w:tcW w:w="6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46B3B97" w14:textId="77777777" w:rsidR="00A9396B" w:rsidRDefault="00A9396B" w:rsidP="003058C7">
            <w:pPr>
              <w:spacing w:before="20" w:after="20"/>
            </w:pPr>
            <w:r>
              <w:rPr>
                <w:rFonts w:ascii="Proxima Nova" w:eastAsia="Proxima Nova" w:hAnsi="Proxima Nova" w:cs="Proxima Nova"/>
                <w:sz w:val="18"/>
                <w:szCs w:val="18"/>
              </w:rPr>
              <w:t>PPA digital procurement platform, demand-driven (</w:t>
            </w:r>
            <w:proofErr w:type="spellStart"/>
            <w:r>
              <w:rPr>
                <w:rFonts w:ascii="Proxima Nova" w:eastAsia="Proxima Nova" w:hAnsi="Proxima Nova" w:cs="Proxima Nova"/>
                <w:sz w:val="18"/>
                <w:szCs w:val="18"/>
              </w:rPr>
              <w:t>RfP</w:t>
            </w:r>
            <w:proofErr w:type="spellEnd"/>
            <w:r>
              <w:rPr>
                <w:rFonts w:ascii="Proxima Nova" w:eastAsia="Proxima Nova" w:hAnsi="Proxima Nova" w:cs="Proxima Nova"/>
                <w:sz w:val="18"/>
                <w:szCs w:val="18"/>
              </w:rPr>
              <w:t xml:space="preserve"> processes). Available in the EU, Norway, and the UK</w:t>
            </w:r>
          </w:p>
        </w:tc>
      </w:tr>
      <w:tr w:rsidR="00A9396B" w14:paraId="57879588"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7FE1E61F" w14:textId="77777777" w:rsidR="00A9396B" w:rsidRDefault="00A9396B" w:rsidP="003058C7">
            <w:pPr>
              <w:spacing w:before="20" w:after="20"/>
            </w:pPr>
            <w:r>
              <w:rPr>
                <w:rFonts w:ascii="Proxima Nova" w:eastAsia="Proxima Nova" w:hAnsi="Proxima Nova" w:cs="Proxima Nova"/>
                <w:b/>
                <w:bCs/>
                <w:sz w:val="18"/>
                <w:szCs w:val="18"/>
              </w:rPr>
              <w:t>3Degrees</w:t>
            </w:r>
          </w:p>
        </w:tc>
        <w:tc>
          <w:tcPr>
            <w:tcW w:w="652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8462F0C" w14:textId="77777777" w:rsidR="00A9396B" w:rsidRDefault="00A9396B" w:rsidP="003058C7">
            <w:pPr>
              <w:spacing w:before="20" w:after="20"/>
            </w:pPr>
            <w:r>
              <w:rPr>
                <w:rFonts w:ascii="Proxima Nova" w:eastAsia="Proxima Nova" w:hAnsi="Proxima Nova" w:cs="Proxima Nova"/>
                <w:sz w:val="18"/>
                <w:szCs w:val="18"/>
              </w:rPr>
              <w:t>Global platform supporting physical and financial PPAs through end-to-end services and an online marketplace for energy certificates and carbon credits. Available in the EU, Norway, the UK, and Switzerland</w:t>
            </w:r>
          </w:p>
        </w:tc>
      </w:tr>
      <w:tr w:rsidR="00A9396B" w14:paraId="7BA79113"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78068C3" w14:textId="77777777" w:rsidR="00A9396B" w:rsidRDefault="00A9396B" w:rsidP="003058C7">
            <w:pPr>
              <w:spacing w:before="20" w:after="20"/>
            </w:pPr>
            <w:r>
              <w:rPr>
                <w:rFonts w:ascii="Proxima Nova" w:eastAsia="Proxima Nova" w:hAnsi="Proxima Nova" w:cs="Proxima Nova"/>
                <w:b/>
                <w:bCs/>
                <w:sz w:val="18"/>
                <w:szCs w:val="18"/>
              </w:rPr>
              <w:t>CFP Energy</w:t>
            </w:r>
          </w:p>
        </w:tc>
        <w:tc>
          <w:tcPr>
            <w:tcW w:w="6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43FB8F6" w14:textId="77777777" w:rsidR="00A9396B" w:rsidRDefault="00A9396B" w:rsidP="003058C7">
            <w:pPr>
              <w:spacing w:before="20" w:after="20"/>
            </w:pPr>
            <w:r>
              <w:rPr>
                <w:rFonts w:ascii="Proxima Nova" w:eastAsia="Proxima Nova" w:hAnsi="Proxima Nova" w:cs="Proxima Nova"/>
                <w:sz w:val="18"/>
                <w:szCs w:val="18"/>
              </w:rPr>
              <w:t>Intermediary platform between buyers and sellers</w:t>
            </w:r>
          </w:p>
        </w:tc>
      </w:tr>
      <w:tr w:rsidR="00A9396B" w14:paraId="7F7A2492"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67592B1" w14:textId="77777777" w:rsidR="00A9396B" w:rsidRDefault="00A9396B" w:rsidP="003058C7">
            <w:pPr>
              <w:spacing w:before="20" w:after="20"/>
            </w:pPr>
            <w:r>
              <w:rPr>
                <w:rFonts w:ascii="Proxima Nova" w:eastAsia="Proxima Nova" w:hAnsi="Proxima Nova" w:cs="Proxima Nova"/>
                <w:b/>
                <w:bCs/>
                <w:sz w:val="18"/>
                <w:szCs w:val="18"/>
              </w:rPr>
              <w:t>MPPA (Mercato PPA – GME)</w:t>
            </w:r>
          </w:p>
        </w:tc>
        <w:tc>
          <w:tcPr>
            <w:tcW w:w="652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78975D4" w14:textId="77777777" w:rsidR="00A9396B" w:rsidRDefault="00A9396B" w:rsidP="003058C7">
            <w:pPr>
              <w:spacing w:before="20" w:after="20"/>
            </w:pPr>
            <w:r>
              <w:rPr>
                <w:rFonts w:ascii="Proxima Nova" w:eastAsia="Proxima Nova" w:hAnsi="Proxima Nova" w:cs="Proxima Nova"/>
                <w:sz w:val="18"/>
                <w:szCs w:val="18"/>
              </w:rPr>
              <w:t>Public PPA platform defined by Italian regulation, operated by GME but not yet operational. Designed to enable long-term PPAs through a central counterparty model complemented by a GSE guarantee mechanism acting as guarantor of last resort</w:t>
            </w:r>
          </w:p>
        </w:tc>
      </w:tr>
      <w:tr w:rsidR="00A9396B" w14:paraId="11BE8F87"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BD9FE16" w14:textId="77777777" w:rsidR="00A9396B" w:rsidRDefault="00A9396B" w:rsidP="003058C7">
            <w:pPr>
              <w:spacing w:before="20" w:after="20"/>
            </w:pPr>
            <w:proofErr w:type="spellStart"/>
            <w:r>
              <w:rPr>
                <w:rFonts w:ascii="Proxima Nova" w:eastAsia="Proxima Nova" w:hAnsi="Proxima Nova" w:cs="Proxima Nova"/>
                <w:b/>
                <w:bCs/>
                <w:sz w:val="18"/>
                <w:szCs w:val="18"/>
              </w:rPr>
              <w:t>Bacheca</w:t>
            </w:r>
            <w:proofErr w:type="spellEnd"/>
            <w:r>
              <w:rPr>
                <w:rFonts w:ascii="Proxima Nova" w:eastAsia="Proxima Nova" w:hAnsi="Proxima Nova" w:cs="Proxima Nova"/>
                <w:b/>
                <w:bCs/>
                <w:sz w:val="18"/>
                <w:szCs w:val="18"/>
              </w:rPr>
              <w:t xml:space="preserve"> PPA (GME)</w:t>
            </w:r>
          </w:p>
        </w:tc>
        <w:tc>
          <w:tcPr>
            <w:tcW w:w="6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4F54E03" w14:textId="77777777" w:rsidR="00A9396B" w:rsidRDefault="00A9396B" w:rsidP="003058C7">
            <w:pPr>
              <w:spacing w:before="20" w:after="20"/>
            </w:pPr>
            <w:r>
              <w:rPr>
                <w:rFonts w:ascii="Proxima Nova" w:eastAsia="Proxima Nova" w:hAnsi="Proxima Nova" w:cs="Proxima Nova"/>
                <w:sz w:val="18"/>
                <w:szCs w:val="18"/>
              </w:rPr>
              <w:t>GME-managed bulletin board operational since April 2022, to be strengthened by the 2026 Energy Decree. A matching tool for buyers and sellers (PPAs concluded outside the board), with dedicated sections for 3-year minimum contracts and SME demand aggregation. Facilitates access to the GSE/SACE multi-tier guarantee scheme</w:t>
            </w:r>
          </w:p>
        </w:tc>
      </w:tr>
      <w:tr w:rsidR="00A9396B" w14:paraId="3A2535BC"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694D7A1" w14:textId="77777777" w:rsidR="00A9396B" w:rsidRDefault="00A9396B" w:rsidP="003058C7">
            <w:pPr>
              <w:spacing w:before="20" w:after="20"/>
            </w:pPr>
            <w:r>
              <w:rPr>
                <w:rFonts w:ascii="Proxima Nova" w:eastAsia="Proxima Nova" w:hAnsi="Proxima Nova" w:cs="Proxima Nova"/>
                <w:b/>
                <w:bCs/>
                <w:sz w:val="18"/>
                <w:szCs w:val="18"/>
              </w:rPr>
              <w:t xml:space="preserve">OMIP Plataforma de </w:t>
            </w:r>
            <w:proofErr w:type="spellStart"/>
            <w:r>
              <w:rPr>
                <w:rFonts w:ascii="Proxima Nova" w:eastAsia="Proxima Nova" w:hAnsi="Proxima Nova" w:cs="Proxima Nova"/>
                <w:b/>
                <w:bCs/>
                <w:sz w:val="18"/>
                <w:szCs w:val="18"/>
              </w:rPr>
              <w:t>Contratação</w:t>
            </w:r>
            <w:proofErr w:type="spellEnd"/>
            <w:r>
              <w:rPr>
                <w:rFonts w:ascii="Proxima Nova" w:eastAsia="Proxima Nova" w:hAnsi="Proxima Nova" w:cs="Proxima Nova"/>
                <w:b/>
                <w:bCs/>
                <w:sz w:val="18"/>
                <w:szCs w:val="18"/>
              </w:rPr>
              <w:t xml:space="preserve"> Bilateral de </w:t>
            </w:r>
            <w:proofErr w:type="spellStart"/>
            <w:r>
              <w:rPr>
                <w:rFonts w:ascii="Proxima Nova" w:eastAsia="Proxima Nova" w:hAnsi="Proxima Nova" w:cs="Proxima Nova"/>
                <w:b/>
                <w:bCs/>
                <w:sz w:val="18"/>
                <w:szCs w:val="18"/>
              </w:rPr>
              <w:t>Energia</w:t>
            </w:r>
            <w:proofErr w:type="spellEnd"/>
          </w:p>
        </w:tc>
        <w:tc>
          <w:tcPr>
            <w:tcW w:w="652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7210E10" w14:textId="77777777" w:rsidR="00A9396B" w:rsidRDefault="00A9396B" w:rsidP="003058C7">
            <w:pPr>
              <w:spacing w:before="20" w:after="20"/>
            </w:pPr>
            <w:r>
              <w:rPr>
                <w:rFonts w:ascii="Proxima Nova" w:eastAsia="Proxima Nova" w:hAnsi="Proxima Nova" w:cs="Proxima Nova"/>
                <w:sz w:val="18"/>
                <w:szCs w:val="18"/>
              </w:rPr>
              <w:t>Regulated by ERSE, implemented via Decree-Law No. 99/2024 and Ordinance No. 367/2024/1. Operational from 29 June 2025, managed by OMIP. Mandatory electronic platform for registering and optionally negotiating bilateral PPAs (physical delivery, &gt;1 year). Provides standard contract templates, matchmaking, and publishes aggregated market statistics</w:t>
            </w:r>
          </w:p>
        </w:tc>
      </w:tr>
      <w:tr w:rsidR="00A9396B" w14:paraId="2C35F262" w14:textId="77777777" w:rsidTr="003058C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04369E5" w14:textId="77777777" w:rsidR="00A9396B" w:rsidRDefault="00A9396B" w:rsidP="003058C7">
            <w:pPr>
              <w:spacing w:before="20" w:after="20"/>
              <w:rPr>
                <w:rFonts w:ascii="Proxima Nova" w:eastAsia="Proxima Nova" w:hAnsi="Proxima Nova" w:cs="Proxima Nova"/>
                <w:b/>
                <w:bCs/>
                <w:sz w:val="18"/>
                <w:szCs w:val="18"/>
              </w:rPr>
            </w:pPr>
          </w:p>
        </w:tc>
        <w:tc>
          <w:tcPr>
            <w:tcW w:w="652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542514F" w14:textId="77777777" w:rsidR="00A9396B" w:rsidRDefault="00A9396B" w:rsidP="003058C7">
            <w:pPr>
              <w:spacing w:before="20" w:after="20"/>
              <w:rPr>
                <w:rFonts w:ascii="Proxima Nova" w:eastAsia="Proxima Nova" w:hAnsi="Proxima Nova" w:cs="Proxima Nova"/>
                <w:sz w:val="18"/>
                <w:szCs w:val="18"/>
              </w:rPr>
            </w:pPr>
          </w:p>
        </w:tc>
      </w:tr>
    </w:tbl>
    <w:p w14:paraId="25E0D509" w14:textId="77777777" w:rsidR="00A9396B" w:rsidRDefault="00A9396B" w:rsidP="00A9396B">
      <w:pPr>
        <w:pBdr>
          <w:bottom w:val="single" w:sz="6" w:space="1" w:color="1F3864"/>
        </w:pBdr>
        <w:spacing w:before="400" w:after="200"/>
        <w:rPr>
          <w:rFonts w:ascii="Proxima Nova" w:eastAsia="Proxima Nova" w:hAnsi="Proxima Nova" w:cs="Proxima Nova"/>
          <w:b/>
          <w:bCs/>
          <w:color w:val="1F3864"/>
          <w:sz w:val="28"/>
          <w:szCs w:val="28"/>
        </w:rPr>
      </w:pPr>
    </w:p>
    <w:p w14:paraId="408B306F" w14:textId="48C41830" w:rsidR="00A9396B" w:rsidRPr="00A9396B" w:rsidRDefault="00A9396B" w:rsidP="00A9396B">
      <w:pPr>
        <w:pBdr>
          <w:bottom w:val="single" w:sz="6" w:space="1" w:color="1F3864"/>
        </w:pBdr>
        <w:spacing w:before="400" w:after="200"/>
        <w:rPr>
          <w:color w:val="002060"/>
        </w:rPr>
      </w:pPr>
      <w:proofErr w:type="spellStart"/>
      <w:r w:rsidRPr="00A9396B">
        <w:rPr>
          <w:rFonts w:ascii="Proxima Nova" w:eastAsia="Proxima Nova" w:hAnsi="Proxima Nova" w:cs="Proxima Nova"/>
          <w:b/>
          <w:bCs/>
          <w:color w:val="002060"/>
          <w:sz w:val="28"/>
          <w:szCs w:val="28"/>
        </w:rPr>
        <w:lastRenderedPageBreak/>
        <w:t>CfDs</w:t>
      </w:r>
      <w:proofErr w:type="spellEnd"/>
      <w:r w:rsidRPr="00A9396B">
        <w:rPr>
          <w:rFonts w:ascii="Proxima Nova" w:eastAsia="Proxima Nova" w:hAnsi="Proxima Nova" w:cs="Proxima Nova"/>
          <w:b/>
          <w:bCs/>
          <w:color w:val="002060"/>
          <w:sz w:val="28"/>
          <w:szCs w:val="28"/>
        </w:rPr>
        <w:t xml:space="preserve"> — availability &amp; compatibility with PPAs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0"/>
        <w:gridCol w:w="2200"/>
        <w:gridCol w:w="5526"/>
      </w:tblGrid>
      <w:tr w:rsidR="00A9396B" w14:paraId="41298E77" w14:textId="77777777" w:rsidTr="00A9396B">
        <w:tblPrEx>
          <w:tblCellMar>
            <w:top w:w="0" w:type="dxa"/>
            <w:bottom w:w="0" w:type="dxa"/>
          </w:tblCellMar>
        </w:tblPrEx>
        <w:trPr>
          <w:tblHeader/>
        </w:trPr>
        <w:tc>
          <w:tcPr>
            <w:tcW w:w="1300"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36CDE293" w14:textId="77777777" w:rsidR="00A9396B" w:rsidRDefault="00A9396B" w:rsidP="003058C7">
            <w:r>
              <w:rPr>
                <w:rFonts w:ascii="Proxima Nova" w:eastAsia="Proxima Nova" w:hAnsi="Proxima Nova" w:cs="Proxima Nova"/>
                <w:b/>
                <w:bCs/>
                <w:color w:val="FFFFFF"/>
                <w:sz w:val="20"/>
                <w:szCs w:val="20"/>
              </w:rPr>
              <w:t>Country</w:t>
            </w:r>
          </w:p>
        </w:tc>
        <w:tc>
          <w:tcPr>
            <w:tcW w:w="2200"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1379E97D" w14:textId="77777777" w:rsidR="00A9396B" w:rsidRDefault="00A9396B" w:rsidP="003058C7">
            <w:r>
              <w:rPr>
                <w:rFonts w:ascii="Proxima Nova" w:eastAsia="Proxima Nova" w:hAnsi="Proxima Nova" w:cs="Proxima Nova"/>
                <w:b/>
                <w:bCs/>
                <w:color w:val="FFFFFF"/>
                <w:sz w:val="20"/>
                <w:szCs w:val="20"/>
              </w:rPr>
              <w:t>Scheme</w:t>
            </w:r>
          </w:p>
        </w:tc>
        <w:tc>
          <w:tcPr>
            <w:tcW w:w="5526" w:type="dxa"/>
            <w:tcBorders>
              <w:top w:val="single" w:sz="4" w:space="0" w:color="CCCCCC"/>
              <w:left w:val="single" w:sz="4" w:space="0" w:color="CCCCCC"/>
              <w:bottom w:val="single" w:sz="4" w:space="0" w:color="CCCCCC"/>
              <w:right w:val="single" w:sz="4" w:space="0" w:color="CCCCCC"/>
            </w:tcBorders>
            <w:shd w:val="clear" w:color="auto" w:fill="002060"/>
            <w:tcMar>
              <w:top w:w="100" w:type="dxa"/>
              <w:left w:w="140" w:type="dxa"/>
              <w:bottom w:w="100" w:type="dxa"/>
              <w:right w:w="140" w:type="dxa"/>
            </w:tcMar>
            <w:vAlign w:val="center"/>
          </w:tcPr>
          <w:p w14:paraId="46FF09D8" w14:textId="77777777" w:rsidR="00A9396B" w:rsidRDefault="00A9396B" w:rsidP="003058C7">
            <w:r>
              <w:rPr>
                <w:rFonts w:ascii="Proxima Nova" w:eastAsia="Proxima Nova" w:hAnsi="Proxima Nova" w:cs="Proxima Nova"/>
                <w:b/>
                <w:bCs/>
                <w:color w:val="FFFFFF"/>
                <w:sz w:val="20"/>
                <w:szCs w:val="20"/>
              </w:rPr>
              <w:t>Description &amp; PPA compatibility</w:t>
            </w:r>
          </w:p>
        </w:tc>
      </w:tr>
      <w:tr w:rsidR="00A9396B" w14:paraId="2BDF0CB2" w14:textId="77777777" w:rsidTr="003058C7">
        <w:tblPrEx>
          <w:tblCellMar>
            <w:top w:w="0" w:type="dxa"/>
            <w:bottom w:w="0" w:type="dxa"/>
          </w:tblCellMar>
        </w:tblPrEx>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24B53C1" w14:textId="77777777" w:rsidR="00A9396B" w:rsidRDefault="00A9396B" w:rsidP="003058C7">
            <w:pPr>
              <w:spacing w:before="20" w:after="20"/>
            </w:pPr>
            <w:r>
              <w:rPr>
                <w:rFonts w:ascii="Proxima Nova" w:eastAsia="Proxima Nova" w:hAnsi="Proxima Nova" w:cs="Proxima Nova"/>
                <w:b/>
                <w:bCs/>
                <w:sz w:val="18"/>
                <w:szCs w:val="18"/>
              </w:rPr>
              <w:t>Italy</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ED8FBDD" w14:textId="77777777" w:rsidR="00A9396B" w:rsidRDefault="00A9396B" w:rsidP="003058C7">
            <w:pPr>
              <w:spacing w:before="20" w:after="20"/>
            </w:pPr>
            <w:r>
              <w:rPr>
                <w:rFonts w:ascii="Proxima Nova" w:eastAsia="Proxima Nova" w:hAnsi="Proxima Nova" w:cs="Proxima Nova"/>
                <w:b/>
                <w:bCs/>
                <w:sz w:val="18"/>
                <w:szCs w:val="18"/>
              </w:rPr>
              <w:t xml:space="preserve">FER-X </w:t>
            </w:r>
            <w:proofErr w:type="spellStart"/>
            <w:r>
              <w:rPr>
                <w:rFonts w:ascii="Proxima Nova" w:eastAsia="Proxima Nova" w:hAnsi="Proxima Nova" w:cs="Proxima Nova"/>
                <w:b/>
                <w:bCs/>
                <w:sz w:val="18"/>
                <w:szCs w:val="18"/>
              </w:rPr>
              <w:t>Transitorio</w:t>
            </w:r>
            <w:proofErr w:type="spellEnd"/>
            <w:r>
              <w:rPr>
                <w:rFonts w:ascii="Proxima Nova" w:eastAsia="Proxima Nova" w:hAnsi="Proxima Nova" w:cs="Proxima Nova"/>
                <w:b/>
                <w:bCs/>
                <w:sz w:val="18"/>
                <w:szCs w:val="18"/>
              </w:rPr>
              <w:t xml:space="preserve"> (Feb 2025)</w:t>
            </w:r>
          </w:p>
        </w:tc>
        <w:tc>
          <w:tcPr>
            <w:tcW w:w="5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5432493" w14:textId="77777777" w:rsidR="00A9396B" w:rsidRDefault="00A9396B" w:rsidP="003058C7">
            <w:pPr>
              <w:spacing w:before="20" w:after="20"/>
            </w:pPr>
            <w:r>
              <w:rPr>
                <w:rFonts w:ascii="Proxima Nova" w:eastAsia="Proxima Nova" w:hAnsi="Proxima Nova" w:cs="Proxima Nova"/>
                <w:sz w:val="18"/>
                <w:szCs w:val="18"/>
              </w:rPr>
              <w:t xml:space="preserve">Provides 20-year two-way </w:t>
            </w:r>
            <w:proofErr w:type="spellStart"/>
            <w:r>
              <w:rPr>
                <w:rFonts w:ascii="Proxima Nova" w:eastAsia="Proxima Nova" w:hAnsi="Proxima Nova" w:cs="Proxima Nova"/>
                <w:sz w:val="18"/>
                <w:szCs w:val="18"/>
              </w:rPr>
              <w:t>CfDs</w:t>
            </w:r>
            <w:proofErr w:type="spellEnd"/>
            <w:r>
              <w:rPr>
                <w:rFonts w:ascii="Proxima Nova" w:eastAsia="Proxima Nova" w:hAnsi="Proxima Nova" w:cs="Proxima Nova"/>
                <w:sz w:val="18"/>
                <w:szCs w:val="18"/>
              </w:rPr>
              <w:t xml:space="preserve"> via auctions; remuneration applies to 95% of production. Signing a PPA of at least 10 years acts as a non-price priority criterion for tied bids when total applications exceed allocated capacity. This hybrid model ensures full compatibility between public support and long-term private contracts.</w:t>
            </w:r>
          </w:p>
        </w:tc>
      </w:tr>
      <w:tr w:rsidR="00A9396B" w14:paraId="576DCACF" w14:textId="77777777" w:rsidTr="003058C7">
        <w:tblPrEx>
          <w:tblCellMar>
            <w:top w:w="0" w:type="dxa"/>
            <w:bottom w:w="0" w:type="dxa"/>
          </w:tblCellMar>
        </w:tblPrEx>
        <w:tc>
          <w:tcPr>
            <w:tcW w:w="13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6F6D4B8" w14:textId="77777777" w:rsidR="00A9396B" w:rsidRDefault="00A9396B" w:rsidP="003058C7">
            <w:pPr>
              <w:spacing w:before="20" w:after="20"/>
            </w:pPr>
            <w:r>
              <w:rPr>
                <w:rFonts w:ascii="Proxima Nova" w:eastAsia="Proxima Nova" w:hAnsi="Proxima Nova" w:cs="Proxima Nova"/>
                <w:b/>
                <w:bCs/>
                <w:sz w:val="18"/>
                <w:szCs w:val="18"/>
              </w:rPr>
              <w:t>Italy</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64B5854" w14:textId="77777777" w:rsidR="00A9396B" w:rsidRDefault="00A9396B" w:rsidP="003058C7">
            <w:pPr>
              <w:spacing w:before="20" w:after="20"/>
            </w:pPr>
            <w:r>
              <w:rPr>
                <w:rFonts w:ascii="Proxima Nova" w:eastAsia="Proxima Nova" w:hAnsi="Proxima Nova" w:cs="Proxima Nova"/>
                <w:b/>
                <w:bCs/>
                <w:sz w:val="18"/>
                <w:szCs w:val="18"/>
              </w:rPr>
              <w:t>Energy Release 2.0</w:t>
            </w:r>
          </w:p>
        </w:tc>
        <w:tc>
          <w:tcPr>
            <w:tcW w:w="552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73888546" w14:textId="77777777" w:rsidR="00A9396B" w:rsidRDefault="00A9396B" w:rsidP="003058C7">
            <w:pPr>
              <w:spacing w:before="20" w:after="20"/>
            </w:pPr>
            <w:r>
              <w:rPr>
                <w:rFonts w:ascii="Proxima Nova" w:eastAsia="Proxima Nova" w:hAnsi="Proxima Nova" w:cs="Proxima Nova"/>
                <w:sz w:val="18"/>
                <w:szCs w:val="18"/>
              </w:rPr>
              <w:t xml:space="preserve">Demand-side two-way </w:t>
            </w:r>
            <w:proofErr w:type="spellStart"/>
            <w:r>
              <w:rPr>
                <w:rFonts w:ascii="Proxima Nova" w:eastAsia="Proxima Nova" w:hAnsi="Proxima Nova" w:cs="Proxima Nova"/>
                <w:sz w:val="18"/>
                <w:szCs w:val="18"/>
              </w:rPr>
              <w:t>CfD</w:t>
            </w:r>
            <w:proofErr w:type="spellEnd"/>
            <w:r>
              <w:rPr>
                <w:rFonts w:ascii="Proxima Nova" w:eastAsia="Proxima Nova" w:hAnsi="Proxima Nova" w:cs="Proxima Nova"/>
                <w:sz w:val="18"/>
                <w:szCs w:val="18"/>
              </w:rPr>
              <w:t xml:space="preserve"> for industrial consumers. PPA-compatible via a "2× capacity" rule: beneficiaries receive advanced energy against a commitment to develop new RES capacity double the volume received within 40 months. Only 50% of output is tied to the 20-year </w:t>
            </w:r>
            <w:proofErr w:type="spellStart"/>
            <w:r>
              <w:rPr>
                <w:rFonts w:ascii="Proxima Nova" w:eastAsia="Proxima Nova" w:hAnsi="Proxima Nova" w:cs="Proxima Nova"/>
                <w:sz w:val="18"/>
                <w:szCs w:val="18"/>
              </w:rPr>
              <w:t>CfD</w:t>
            </w:r>
            <w:proofErr w:type="spellEnd"/>
            <w:r>
              <w:rPr>
                <w:rFonts w:ascii="Proxima Nova" w:eastAsia="Proxima Nova" w:hAnsi="Proxima Nova" w:cs="Proxima Nova"/>
                <w:sz w:val="18"/>
                <w:szCs w:val="18"/>
              </w:rPr>
              <w:t xml:space="preserve"> settlement, leaving the remaining 50% available for private PPAs or market signals.</w:t>
            </w:r>
          </w:p>
        </w:tc>
      </w:tr>
      <w:tr w:rsidR="00A9396B" w14:paraId="32524723" w14:textId="77777777" w:rsidTr="003058C7">
        <w:tblPrEx>
          <w:tblCellMar>
            <w:top w:w="0" w:type="dxa"/>
            <w:bottom w:w="0" w:type="dxa"/>
          </w:tblCellMar>
        </w:tblPrEx>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A0A551F" w14:textId="77777777" w:rsidR="00A9396B" w:rsidRDefault="00A9396B" w:rsidP="003058C7">
            <w:pPr>
              <w:spacing w:before="20" w:after="20"/>
            </w:pPr>
            <w:r>
              <w:rPr>
                <w:rFonts w:ascii="Proxima Nova" w:eastAsia="Proxima Nova" w:hAnsi="Proxima Nova" w:cs="Proxima Nova"/>
                <w:b/>
                <w:bCs/>
                <w:sz w:val="18"/>
                <w:szCs w:val="18"/>
              </w:rPr>
              <w:t>Spain</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9704BA5" w14:textId="77777777" w:rsidR="00A9396B" w:rsidRDefault="00A9396B" w:rsidP="003058C7">
            <w:pPr>
              <w:spacing w:before="20" w:after="20"/>
            </w:pPr>
            <w:r>
              <w:rPr>
                <w:rFonts w:ascii="Proxima Nova" w:eastAsia="Proxima Nova" w:hAnsi="Proxima Nova" w:cs="Proxima Nova"/>
                <w:b/>
                <w:bCs/>
                <w:sz w:val="18"/>
                <w:szCs w:val="18"/>
              </w:rPr>
              <w:t>REER Framework (since 2020)</w:t>
            </w:r>
          </w:p>
        </w:tc>
        <w:tc>
          <w:tcPr>
            <w:tcW w:w="5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1412DA6D" w14:textId="77777777" w:rsidR="00A9396B" w:rsidRDefault="00A9396B" w:rsidP="003058C7">
            <w:pPr>
              <w:spacing w:before="20" w:after="20"/>
            </w:pPr>
            <w:r>
              <w:rPr>
                <w:rFonts w:ascii="Proxima Nova" w:eastAsia="Proxima Nova" w:hAnsi="Proxima Nova" w:cs="Proxima Nova"/>
                <w:sz w:val="18"/>
                <w:szCs w:val="18"/>
              </w:rPr>
              <w:t xml:space="preserve">Allocates 12-year two-sided </w:t>
            </w:r>
            <w:proofErr w:type="spellStart"/>
            <w:r>
              <w:rPr>
                <w:rFonts w:ascii="Proxima Nova" w:eastAsia="Proxima Nova" w:hAnsi="Proxima Nova" w:cs="Proxima Nova"/>
                <w:sz w:val="18"/>
                <w:szCs w:val="18"/>
              </w:rPr>
              <w:t>CfDs</w:t>
            </w:r>
            <w:proofErr w:type="spellEnd"/>
            <w:r>
              <w:rPr>
                <w:rFonts w:ascii="Proxima Nova" w:eastAsia="Proxima Nova" w:hAnsi="Proxima Nova" w:cs="Proxima Nova"/>
                <w:sz w:val="18"/>
                <w:szCs w:val="18"/>
              </w:rPr>
              <w:t xml:space="preserve"> via competitive auctions. Stabilises revenues by compensating generators when market prices fall below the strike price and requiring paybacks when they exceed it. During the </w:t>
            </w:r>
            <w:proofErr w:type="spellStart"/>
            <w:r>
              <w:rPr>
                <w:rFonts w:ascii="Proxima Nova" w:eastAsia="Proxima Nova" w:hAnsi="Proxima Nova" w:cs="Proxima Nova"/>
                <w:sz w:val="18"/>
                <w:szCs w:val="18"/>
              </w:rPr>
              <w:t>CfD</w:t>
            </w:r>
            <w:proofErr w:type="spellEnd"/>
            <w:r>
              <w:rPr>
                <w:rFonts w:ascii="Proxima Nova" w:eastAsia="Proxima Nova" w:hAnsi="Proxima Nova" w:cs="Proxima Nova"/>
                <w:sz w:val="18"/>
                <w:szCs w:val="18"/>
              </w:rPr>
              <w:t xml:space="preserve"> period, energy covered by the </w:t>
            </w:r>
            <w:proofErr w:type="spellStart"/>
            <w:r>
              <w:rPr>
                <w:rFonts w:ascii="Proxima Nova" w:eastAsia="Proxima Nova" w:hAnsi="Proxima Nova" w:cs="Proxima Nova"/>
                <w:sz w:val="18"/>
                <w:szCs w:val="18"/>
              </w:rPr>
              <w:t>CfD</w:t>
            </w:r>
            <w:proofErr w:type="spellEnd"/>
            <w:r>
              <w:rPr>
                <w:rFonts w:ascii="Proxima Nova" w:eastAsia="Proxima Nova" w:hAnsi="Proxima Nova" w:cs="Proxima Nova"/>
                <w:sz w:val="18"/>
                <w:szCs w:val="18"/>
              </w:rPr>
              <w:t xml:space="preserve"> cannot be sold via physical PPAs; once obligations are met, additional output may be sold under PPAs, combining regulated and market-based revenues in line with EU guidance.</w:t>
            </w:r>
          </w:p>
        </w:tc>
      </w:tr>
    </w:tbl>
    <w:p w14:paraId="63376A61" w14:textId="77777777" w:rsidR="00A9396B" w:rsidRPr="00A737C5" w:rsidRDefault="00A9396B" w:rsidP="00A737C5">
      <w:pPr>
        <w:rPr>
          <w:rFonts w:ascii="Proxima Nova" w:hAnsi="Proxima Nova"/>
          <w:b/>
          <w:bCs/>
          <w:color w:val="00B0F0"/>
          <w:sz w:val="28"/>
          <w:szCs w:val="28"/>
          <w:lang w:val="sk-SK"/>
        </w:rPr>
      </w:pPr>
    </w:p>
    <w:p w14:paraId="2C502D4B" w14:textId="77777777" w:rsidR="00A737C5" w:rsidRDefault="00A737C5" w:rsidP="00A737C5">
      <w:pPr>
        <w:spacing w:line="276" w:lineRule="auto"/>
        <w:jc w:val="both"/>
        <w:rPr>
          <w:rFonts w:eastAsia="Aptos" w:cs="Aptos"/>
          <w:lang w:val="en-GB"/>
        </w:rPr>
      </w:pPr>
    </w:p>
    <w:p w14:paraId="1AE66C31" w14:textId="77777777" w:rsidR="00A737C5" w:rsidRPr="00012057" w:rsidRDefault="00A737C5" w:rsidP="00A737C5">
      <w:pPr>
        <w:rPr>
          <w:color w:val="004F98"/>
          <w:shd w:val="clear" w:color="auto" w:fill="FFFFFF"/>
        </w:rPr>
      </w:pPr>
    </w:p>
    <w:p w14:paraId="14D15464" w14:textId="77777777" w:rsidR="00A737C5" w:rsidRPr="00DB76BC" w:rsidRDefault="00A737C5" w:rsidP="00A737C5">
      <w:pPr>
        <w:rPr>
          <w:b/>
          <w:bCs/>
          <w:color w:val="002060"/>
          <w:sz w:val="28"/>
          <w:szCs w:val="28"/>
          <w:shd w:val="clear" w:color="auto" w:fill="FFFFFF"/>
        </w:rPr>
      </w:pPr>
      <w:r w:rsidRPr="00DB76BC">
        <w:rPr>
          <w:b/>
          <w:bCs/>
          <w:color w:val="002060"/>
          <w:sz w:val="28"/>
          <w:szCs w:val="28"/>
          <w:shd w:val="clear" w:color="auto" w:fill="FFFFFF"/>
        </w:rPr>
        <w:t>International reporting standards for carbon accounting</w:t>
      </w:r>
    </w:p>
    <w:p w14:paraId="484284BF" w14:textId="77777777" w:rsidR="00DB76BC" w:rsidRPr="00DB76BC" w:rsidRDefault="00DB76BC" w:rsidP="00A737C5">
      <w:pPr>
        <w:rPr>
          <w:b/>
          <w:bCs/>
          <w:color w:val="002060"/>
          <w:shd w:val="clear" w:color="auto" w:fill="FFFFFF"/>
        </w:rPr>
      </w:pPr>
    </w:p>
    <w:p w14:paraId="0D329DAB" w14:textId="77777777" w:rsidR="004621EA" w:rsidRPr="004621EA" w:rsidRDefault="00A737C5" w:rsidP="00A737C5">
      <w:pPr>
        <w:rPr>
          <w:rStyle w:val="apple-converted-space"/>
          <w:b/>
          <w:bCs/>
          <w:i/>
          <w:iCs/>
          <w:color w:val="333333"/>
        </w:rPr>
      </w:pPr>
      <w:r w:rsidRPr="004621EA">
        <w:rPr>
          <w:rStyle w:val="Strong"/>
          <w:b w:val="0"/>
          <w:bCs w:val="0"/>
          <w:i/>
          <w:iCs/>
          <w:color w:val="333333"/>
        </w:rPr>
        <w:t>The Greenhouse Gas Protocol is a voluntary scheme for reporting market-based emissions accounting. The protocol is directly referenced in the European Sustainability Reporting Directive (CSRD). It is currently under review.</w:t>
      </w:r>
      <w:r w:rsidRPr="004621EA">
        <w:rPr>
          <w:rStyle w:val="apple-converted-space"/>
          <w:b/>
          <w:bCs/>
          <w:i/>
          <w:iCs/>
          <w:color w:val="333333"/>
        </w:rPr>
        <w:t> </w:t>
      </w:r>
    </w:p>
    <w:p w14:paraId="4EE956F3" w14:textId="68AB42E8" w:rsidR="00DB76BC" w:rsidRPr="004621EA" w:rsidRDefault="00A737C5" w:rsidP="00A737C5">
      <w:pPr>
        <w:rPr>
          <w:rStyle w:val="Strong"/>
          <w:color w:val="F28F1A" w:themeColor="accent3"/>
        </w:rPr>
      </w:pPr>
      <w:r w:rsidRPr="00DB76BC">
        <w:rPr>
          <w:b/>
          <w:bCs/>
          <w:color w:val="333333"/>
        </w:rPr>
        <w:br/>
      </w:r>
      <w:r w:rsidRPr="004621EA">
        <w:rPr>
          <w:rStyle w:val="Strong"/>
          <w:color w:val="F28F1A" w:themeColor="accent3"/>
        </w:rPr>
        <w:t>What impact would stricter criteria, such as requiring hourly matching of electricity use and sourcing energy within the same local market (i.e. bidding zone), have on your ability, or appetite, to sign renewable energy PPAs in the countries where you operate?</w:t>
      </w:r>
    </w:p>
    <w:p w14:paraId="2CDF6132" w14:textId="77777777" w:rsidR="00DB76BC" w:rsidRPr="00DB76BC" w:rsidRDefault="00DB76BC" w:rsidP="00A737C5">
      <w:pPr>
        <w:rPr>
          <w:rStyle w:val="Strong"/>
          <w:color w:val="333333"/>
        </w:rPr>
      </w:pPr>
    </w:p>
    <w:p w14:paraId="435247CF" w14:textId="77777777" w:rsidR="00DB76BC" w:rsidRDefault="00DB76BC" w:rsidP="00A737C5">
      <w:pPr>
        <w:rPr>
          <w:color w:val="000000"/>
        </w:rPr>
      </w:pPr>
      <w:r w:rsidRPr="00DB76BC">
        <w:rPr>
          <w:color w:val="000000"/>
        </w:rPr>
        <w:t xml:space="preserve">Any transition towards more granular matching requirements should remain strictly voluntary and market-driven. Imposing locational matching obligations risks fragmenting the internal electricity market and could significantly hinder the development and conclusion of </w:t>
      </w:r>
      <w:r w:rsidRPr="00DB76BC">
        <w:rPr>
          <w:color w:val="000000"/>
        </w:rPr>
        <w:lastRenderedPageBreak/>
        <w:t xml:space="preserve">cross-border Power Purchase Agreements (PPAs), which are essential for supporting renewable deployment and market integration across Europe. </w:t>
      </w:r>
    </w:p>
    <w:p w14:paraId="1000549A" w14:textId="77777777" w:rsidR="00DB76BC" w:rsidRDefault="00DB76BC" w:rsidP="00A737C5">
      <w:pPr>
        <w:rPr>
          <w:color w:val="000000"/>
        </w:rPr>
      </w:pPr>
    </w:p>
    <w:p w14:paraId="765124C5" w14:textId="4699A94A" w:rsidR="00A737C5" w:rsidRDefault="00DB76BC" w:rsidP="00A737C5">
      <w:pPr>
        <w:rPr>
          <w:color w:val="000000"/>
        </w:rPr>
      </w:pPr>
      <w:r w:rsidRPr="00DB76BC">
        <w:rPr>
          <w:color w:val="000000"/>
        </w:rPr>
        <w:t>Furthermore, introducing additional procurement complexity and associated compliance costs may reduce market participants’ appetite for entering into PPAs, particularly for smaller actors with limited resources. In particular, hourly matching requirements could lead to a decline in pay-as-produced PPAs, as such contracts are based on the natural production profile of renewable generation and may become less economically viable under stricter temporal correlation obligations.</w:t>
      </w:r>
    </w:p>
    <w:p w14:paraId="41483BC5" w14:textId="77777777" w:rsidR="00DB76BC" w:rsidRDefault="00DB76BC" w:rsidP="00A737C5">
      <w:pPr>
        <w:rPr>
          <w:rStyle w:val="Strong"/>
          <w:b w:val="0"/>
          <w:bCs w:val="0"/>
          <w:color w:val="333333"/>
        </w:rPr>
      </w:pPr>
    </w:p>
    <w:p w14:paraId="7ADA815C" w14:textId="77777777" w:rsidR="0044410E" w:rsidRPr="00DB76BC" w:rsidRDefault="0044410E" w:rsidP="00A737C5">
      <w:pPr>
        <w:rPr>
          <w:rStyle w:val="Strong"/>
          <w:b w:val="0"/>
          <w:bCs w:val="0"/>
          <w:color w:val="333333"/>
        </w:rPr>
      </w:pPr>
    </w:p>
    <w:p w14:paraId="21FC96C6" w14:textId="77777777" w:rsidR="00A737C5" w:rsidRDefault="00A737C5" w:rsidP="00A737C5">
      <w:pPr>
        <w:spacing w:line="240" w:lineRule="auto"/>
        <w:rPr>
          <w:rFonts w:eastAsia="Times New Roman" w:cs="Times New Roman"/>
          <w:b/>
          <w:color w:val="002060"/>
          <w:kern w:val="0"/>
          <w:sz w:val="28"/>
          <w:szCs w:val="28"/>
          <w:lang w:eastAsia="en-GB"/>
          <w14:ligatures w14:val="none"/>
        </w:rPr>
      </w:pPr>
      <w:r w:rsidRPr="00DB76BC">
        <w:rPr>
          <w:rFonts w:eastAsia="Times New Roman" w:cs="Times New Roman"/>
          <w:b/>
          <w:color w:val="002060"/>
          <w:kern w:val="0"/>
          <w:sz w:val="28"/>
          <w:szCs w:val="28"/>
          <w:lang w:eastAsia="en-GB"/>
          <w14:ligatures w14:val="none"/>
        </w:rPr>
        <w:t>Challenges and ways to improve the availability of PPAs</w:t>
      </w:r>
    </w:p>
    <w:p w14:paraId="0A962EEC" w14:textId="77777777" w:rsidR="00DB76BC" w:rsidRPr="00DB76BC" w:rsidRDefault="00DB76BC" w:rsidP="00A737C5">
      <w:pPr>
        <w:spacing w:line="240" w:lineRule="auto"/>
        <w:rPr>
          <w:rFonts w:eastAsia="Times New Roman" w:cs="Times New Roman"/>
          <w:b/>
          <w:color w:val="002060"/>
          <w:kern w:val="0"/>
          <w:sz w:val="28"/>
          <w:szCs w:val="28"/>
          <w:lang w:eastAsia="en-GB"/>
          <w14:ligatures w14:val="none"/>
        </w:rPr>
      </w:pPr>
    </w:p>
    <w:p w14:paraId="702A5086" w14:textId="35348A88" w:rsidR="002F136E" w:rsidRPr="00AC6898" w:rsidRDefault="002F136E" w:rsidP="00A737C5">
      <w:pPr>
        <w:spacing w:line="240" w:lineRule="auto"/>
        <w:rPr>
          <w:rFonts w:eastAsia="Times New Roman" w:cs="Times New Roman"/>
          <w:b/>
          <w:bCs/>
          <w:color w:val="F28F1A" w:themeColor="accent3"/>
          <w:kern w:val="0"/>
          <w:lang w:eastAsia="en-GB"/>
          <w14:ligatures w14:val="none"/>
        </w:rPr>
      </w:pPr>
      <w:r w:rsidRPr="00AC6898">
        <w:rPr>
          <w:rFonts w:eastAsia="Times New Roman" w:cs="Times New Roman"/>
          <w:b/>
          <w:bCs/>
          <w:color w:val="F28F1A" w:themeColor="accent3"/>
          <w:kern w:val="0"/>
          <w:lang w:eastAsia="en-GB"/>
          <w14:ligatures w14:val="none"/>
        </w:rPr>
        <w:t xml:space="preserve">Do you see a link between high renewable build-out and the availability of PPAs in </w:t>
      </w:r>
      <w:r w:rsidR="0044410E" w:rsidRPr="00AC6898">
        <w:rPr>
          <w:rFonts w:eastAsia="Times New Roman" w:cs="Times New Roman"/>
          <w:b/>
          <w:bCs/>
          <w:color w:val="F28F1A" w:themeColor="accent3"/>
          <w:kern w:val="0"/>
          <w:lang w:eastAsia="en-GB"/>
          <w14:ligatures w14:val="none"/>
        </w:rPr>
        <w:t xml:space="preserve">the </w:t>
      </w:r>
      <w:r w:rsidRPr="00AC6898">
        <w:rPr>
          <w:rFonts w:eastAsia="Times New Roman" w:cs="Times New Roman"/>
          <w:b/>
          <w:bCs/>
          <w:color w:val="F28F1A" w:themeColor="accent3"/>
          <w:kern w:val="0"/>
          <w:lang w:eastAsia="en-GB"/>
          <w14:ligatures w14:val="none"/>
        </w:rPr>
        <w:t>market(s) in which you are active?</w:t>
      </w:r>
    </w:p>
    <w:p w14:paraId="7A43917B" w14:textId="77777777" w:rsidR="002F136E" w:rsidRDefault="002F136E" w:rsidP="002F136E">
      <w:pPr>
        <w:spacing w:line="240" w:lineRule="auto"/>
        <w:rPr>
          <w:rFonts w:eastAsia="Times New Roman" w:cs="Times New Roman"/>
          <w:b/>
          <w:color w:val="004F98"/>
          <w:kern w:val="0"/>
          <w:sz w:val="28"/>
          <w:szCs w:val="28"/>
          <w:lang w:eastAsia="en-GB"/>
          <w14:ligatures w14:val="none"/>
        </w:rPr>
      </w:pPr>
    </w:p>
    <w:p w14:paraId="0D312841" w14:textId="5F86D779" w:rsidR="002F136E" w:rsidRPr="00012057" w:rsidRDefault="002F136E" w:rsidP="002F136E">
      <w:pPr>
        <w:spacing w:after="20" w:line="276" w:lineRule="auto"/>
        <w:jc w:val="both"/>
        <w:rPr>
          <w:rFonts w:eastAsia="Aptos" w:cs="Aptos"/>
          <w:lang w:val="en-GB"/>
        </w:rPr>
      </w:pPr>
      <w:r w:rsidRPr="002F136E">
        <w:rPr>
          <w:rFonts w:eastAsia="Aptos" w:cs="Aptos"/>
          <w:lang w:val="en-GB"/>
        </w:rPr>
        <w:t xml:space="preserve">High build-out should lower prices and increase PPA availability, but 'price cannibalisation' during solar peaks complicates fixed PPA structures. Additionally, grid bottlenecks prevent the full exploitation of renewable production due to curtailment. These physical and market constraints currently hinder the link between </w:t>
      </w:r>
      <w:proofErr w:type="gramStart"/>
      <w:r w:rsidRPr="002F136E">
        <w:rPr>
          <w:rFonts w:eastAsia="Aptos" w:cs="Aptos"/>
          <w:lang w:val="en-GB"/>
        </w:rPr>
        <w:t>high RES</w:t>
      </w:r>
      <w:proofErr w:type="gramEnd"/>
      <w:r w:rsidRPr="002F136E">
        <w:rPr>
          <w:rFonts w:eastAsia="Aptos" w:cs="Aptos"/>
          <w:lang w:val="en-GB"/>
        </w:rPr>
        <w:t xml:space="preserve"> penetration and PPA growth, creating a gap between theoretical supply and actual bankable contracts</w:t>
      </w:r>
      <w:r w:rsidR="00C45963">
        <w:rPr>
          <w:rFonts w:eastAsia="Aptos" w:cs="Aptos"/>
          <w:lang w:val="en-GB"/>
        </w:rPr>
        <w:t>.</w:t>
      </w:r>
    </w:p>
    <w:p w14:paraId="3BF7063A" w14:textId="4901D187" w:rsidR="00A737C5" w:rsidRPr="00012057" w:rsidRDefault="00A737C5" w:rsidP="00A737C5">
      <w:pPr>
        <w:spacing w:line="240" w:lineRule="auto"/>
      </w:pPr>
      <w:r w:rsidRPr="00012057">
        <w:rPr>
          <w:rFonts w:eastAsia="Times New Roman" w:cs="Times New Roman"/>
          <w:color w:val="666666"/>
          <w:kern w:val="0"/>
          <w:lang w:eastAsia="en-GB"/>
          <w14:ligatures w14:val="none"/>
        </w:rPr>
        <w:br/>
      </w:r>
    </w:p>
    <w:p w14:paraId="0EB6C4FA" w14:textId="77777777" w:rsidR="00A737C5" w:rsidRPr="00AC6898" w:rsidRDefault="00A737C5" w:rsidP="00A737C5">
      <w:pPr>
        <w:spacing w:line="240" w:lineRule="auto"/>
        <w:rPr>
          <w:rFonts w:eastAsia="Times New Roman" w:cs="Times New Roman"/>
          <w:b/>
          <w:bCs/>
          <w:color w:val="F28F1A" w:themeColor="accent3"/>
          <w:kern w:val="0"/>
          <w:lang w:eastAsia="en-GB"/>
          <w14:ligatures w14:val="none"/>
        </w:rPr>
      </w:pPr>
      <w:r w:rsidRPr="00AC6898">
        <w:rPr>
          <w:rFonts w:eastAsia="Times New Roman" w:cs="Times New Roman"/>
          <w:b/>
          <w:bCs/>
          <w:color w:val="F28F1A" w:themeColor="accent3"/>
          <w:kern w:val="0"/>
          <w:lang w:eastAsia="en-GB"/>
          <w14:ligatures w14:val="none"/>
        </w:rPr>
        <w:t>Which regulatory costs and aspects of the regulatory framework have the greatest impact on the appetite and ability to sign PPAs?</w:t>
      </w:r>
    </w:p>
    <w:p w14:paraId="37E39714" w14:textId="77777777" w:rsidR="002F136E" w:rsidRPr="00012057" w:rsidRDefault="002F136E" w:rsidP="00A737C5">
      <w:pPr>
        <w:spacing w:line="240" w:lineRule="auto"/>
        <w:rPr>
          <w:rFonts w:eastAsia="Times New Roman" w:cs="Times New Roman"/>
          <w:kern w:val="0"/>
          <w:lang w:eastAsia="en-GB"/>
          <w14:ligatures w14:val="none"/>
        </w:rPr>
      </w:pPr>
    </w:p>
    <w:p w14:paraId="7F8F8A28" w14:textId="78AC4F74" w:rsidR="0044410E" w:rsidRDefault="0044410E" w:rsidP="0044410E">
      <w:pPr>
        <w:spacing w:line="240" w:lineRule="auto"/>
        <w:rPr>
          <w:rFonts w:ascii="Proxima Nova" w:hAnsi="Proxima Nova"/>
          <w:color w:val="000000"/>
        </w:rPr>
      </w:pPr>
      <w:r w:rsidRPr="0044410E">
        <w:rPr>
          <w:rFonts w:ascii="Proxima Nova" w:hAnsi="Proxima Nova"/>
          <w:color w:val="000000"/>
        </w:rPr>
        <w:t xml:space="preserve">The regulatory framework continues to play a decisive role in shaping both the appetite and the ability of market participants to enter into PPAs. In particular, the financial regulation applicable to virtual PPAs can create significant </w:t>
      </w:r>
      <w:r>
        <w:rPr>
          <w:rFonts w:ascii="Proxima Nova" w:hAnsi="Proxima Nova"/>
          <w:color w:val="000000"/>
        </w:rPr>
        <w:t>barriers</w:t>
      </w:r>
      <w:r w:rsidRPr="0044410E">
        <w:rPr>
          <w:rFonts w:ascii="Proxima Nova" w:hAnsi="Proxima Nova"/>
          <w:color w:val="000000"/>
        </w:rPr>
        <w:t xml:space="preserve">, limiting their attractiveness and accessibility for market participants. </w:t>
      </w:r>
    </w:p>
    <w:p w14:paraId="5B9D43EB" w14:textId="77777777" w:rsidR="0044410E" w:rsidRDefault="0044410E" w:rsidP="0044410E">
      <w:pPr>
        <w:spacing w:line="240" w:lineRule="auto"/>
        <w:rPr>
          <w:rFonts w:ascii="Proxima Nova" w:hAnsi="Proxima Nova"/>
          <w:color w:val="000000"/>
        </w:rPr>
      </w:pPr>
    </w:p>
    <w:p w14:paraId="26B67220" w14:textId="77777777" w:rsidR="0044410E" w:rsidRDefault="0044410E" w:rsidP="0044410E">
      <w:pPr>
        <w:spacing w:line="240" w:lineRule="auto"/>
        <w:rPr>
          <w:rFonts w:ascii="Proxima Nova" w:hAnsi="Proxima Nova"/>
          <w:color w:val="000000"/>
        </w:rPr>
      </w:pPr>
      <w:r w:rsidRPr="0044410E">
        <w:rPr>
          <w:rFonts w:ascii="Proxima Nova" w:hAnsi="Proxima Nova"/>
          <w:color w:val="000000"/>
        </w:rPr>
        <w:t xml:space="preserve">In addition, the lack of availability of multi-year Long-Term Transmission Rights (LTTRs) represents a major obstacle for cross-border PPAs, as it prevents effective long-term hedging of cross-zonal price risks. </w:t>
      </w:r>
    </w:p>
    <w:p w14:paraId="2F41F586" w14:textId="77777777" w:rsidR="0044410E" w:rsidRDefault="0044410E" w:rsidP="0044410E">
      <w:pPr>
        <w:spacing w:line="240" w:lineRule="auto"/>
        <w:rPr>
          <w:rFonts w:ascii="Proxima Nova" w:hAnsi="Proxima Nova"/>
          <w:color w:val="000000"/>
        </w:rPr>
      </w:pPr>
    </w:p>
    <w:p w14:paraId="6E441372" w14:textId="77777777" w:rsidR="0044410E" w:rsidRDefault="0044410E" w:rsidP="0044410E">
      <w:pPr>
        <w:spacing w:line="240" w:lineRule="auto"/>
        <w:rPr>
          <w:rFonts w:ascii="Proxima Nova" w:hAnsi="Proxima Nova"/>
          <w:color w:val="000000"/>
        </w:rPr>
      </w:pPr>
      <w:r w:rsidRPr="0044410E">
        <w:rPr>
          <w:rFonts w:ascii="Proxima Nova" w:hAnsi="Proxima Nova"/>
          <w:color w:val="000000"/>
        </w:rPr>
        <w:t xml:space="preserve">Frequent ad-hoc regulatory interventions in electricity markets, combined with broader uncertainty surrounding the future trajectory of the EU ETS, further undermine investment predictability and reduce confidence in long-term contracting. At the same time, increasingly generous state support schemes may inadvertently reduce incentives for market-based hedging solutions such as PPAs. </w:t>
      </w:r>
    </w:p>
    <w:p w14:paraId="6E622E4D" w14:textId="77777777" w:rsidR="0044410E" w:rsidRDefault="0044410E" w:rsidP="0044410E">
      <w:pPr>
        <w:spacing w:line="240" w:lineRule="auto"/>
        <w:rPr>
          <w:rFonts w:ascii="Proxima Nova" w:hAnsi="Proxima Nova"/>
          <w:color w:val="000000"/>
        </w:rPr>
      </w:pPr>
    </w:p>
    <w:p w14:paraId="37023FDE" w14:textId="44AAFABE" w:rsidR="00A737C5" w:rsidRPr="0044410E" w:rsidRDefault="0044410E" w:rsidP="0044410E">
      <w:pPr>
        <w:spacing w:line="240" w:lineRule="auto"/>
        <w:rPr>
          <w:rFonts w:ascii="Proxima Nova" w:hAnsi="Proxima Nova"/>
          <w:color w:val="000000"/>
        </w:rPr>
      </w:pPr>
      <w:r w:rsidRPr="0044410E">
        <w:rPr>
          <w:rFonts w:ascii="Proxima Nova" w:hAnsi="Proxima Nova"/>
          <w:color w:val="000000"/>
        </w:rPr>
        <w:lastRenderedPageBreak/>
        <w:t>Finally, the lack of harmonisation in the Guarantees of Origin (GO) framework across Member States continues to create unnecessary complexity and barriers for cross-border transactions.</w:t>
      </w:r>
    </w:p>
    <w:p w14:paraId="2B5A95C5" w14:textId="77777777" w:rsidR="0044410E" w:rsidRPr="0044410E" w:rsidRDefault="0044410E" w:rsidP="0044410E">
      <w:pPr>
        <w:spacing w:line="240" w:lineRule="auto"/>
        <w:rPr>
          <w:rFonts w:eastAsia="Times New Roman" w:cs="Times New Roman"/>
          <w:b/>
          <w:bCs/>
          <w:color w:val="002060"/>
          <w:kern w:val="0"/>
          <w:lang w:eastAsia="en-GB"/>
          <w14:ligatures w14:val="none"/>
        </w:rPr>
      </w:pPr>
    </w:p>
    <w:p w14:paraId="6C590023" w14:textId="77777777" w:rsidR="00A737C5" w:rsidRPr="00AC6898" w:rsidRDefault="00A737C5" w:rsidP="00A737C5">
      <w:pPr>
        <w:spacing w:line="240" w:lineRule="auto"/>
        <w:rPr>
          <w:rFonts w:eastAsia="Times New Roman" w:cs="Times New Roman"/>
          <w:b/>
          <w:bCs/>
          <w:color w:val="F28F1A" w:themeColor="accent3"/>
          <w:kern w:val="0"/>
          <w:lang w:eastAsia="en-GB"/>
          <w14:ligatures w14:val="none"/>
        </w:rPr>
      </w:pPr>
      <w:r w:rsidRPr="00AC6898">
        <w:rPr>
          <w:rFonts w:eastAsia="Times New Roman" w:cs="Times New Roman"/>
          <w:b/>
          <w:bCs/>
          <w:color w:val="F28F1A" w:themeColor="accent3"/>
          <w:kern w:val="0"/>
          <w:lang w:eastAsia="en-GB"/>
          <w14:ligatures w14:val="none"/>
        </w:rPr>
        <w:t>What are the most important challenges to improving the availability of PPAs in the market(s) in which you are active?</w:t>
      </w:r>
    </w:p>
    <w:p w14:paraId="0E1029F0" w14:textId="77777777" w:rsidR="002F136E" w:rsidRPr="002F136E" w:rsidRDefault="002F136E" w:rsidP="00A737C5">
      <w:pPr>
        <w:spacing w:line="240" w:lineRule="auto"/>
        <w:rPr>
          <w:rFonts w:eastAsia="Times New Roman" w:cs="Times New Roman"/>
          <w:b/>
          <w:bCs/>
          <w:color w:val="002060"/>
          <w:kern w:val="0"/>
          <w:lang w:eastAsia="en-GB"/>
          <w14:ligatures w14:val="none"/>
        </w:rPr>
      </w:pPr>
    </w:p>
    <w:p w14:paraId="3D7B5AF5" w14:textId="77777777" w:rsidR="0044410E" w:rsidRDefault="0044410E" w:rsidP="0CD056D3">
      <w:pPr>
        <w:rPr>
          <w:rFonts w:ascii="Proxima Nova" w:hAnsi="Proxima Nova"/>
          <w:color w:val="000000"/>
        </w:rPr>
      </w:pPr>
      <w:r w:rsidRPr="0044410E">
        <w:rPr>
          <w:rFonts w:ascii="Proxima Nova" w:hAnsi="Proxima Nova"/>
          <w:color w:val="000000"/>
        </w:rPr>
        <w:t xml:space="preserve">Several structural challenges continue to limit the availability and scalability of PPAs across European markets. Limited forward market liquidity remains a key constraint, particularly for long-term hedging products needed to support bankable PPAs. </w:t>
      </w:r>
    </w:p>
    <w:p w14:paraId="56D41361" w14:textId="77777777" w:rsidR="0044410E" w:rsidRDefault="0044410E" w:rsidP="0CD056D3">
      <w:pPr>
        <w:rPr>
          <w:rFonts w:ascii="Proxima Nova" w:hAnsi="Proxima Nova"/>
          <w:color w:val="000000"/>
        </w:rPr>
      </w:pPr>
    </w:p>
    <w:p w14:paraId="70B76D81" w14:textId="77777777" w:rsidR="0044410E" w:rsidRDefault="0044410E" w:rsidP="0CD056D3">
      <w:pPr>
        <w:rPr>
          <w:rFonts w:ascii="Proxima Nova" w:hAnsi="Proxima Nova"/>
          <w:color w:val="000000"/>
        </w:rPr>
      </w:pPr>
      <w:r w:rsidRPr="0044410E">
        <w:rPr>
          <w:rFonts w:ascii="Proxima Nova" w:hAnsi="Proxima Nova"/>
          <w:color w:val="000000"/>
        </w:rPr>
        <w:t xml:space="preserve">Counterparty credit risk also constitutes a major barrier, especially for smaller market participants and industrial off-takers. In this regard, enabling public administrations and public entities to act as major PPA buyers could provide the market with additional scale, stronger creditworthiness, and increased long-term demand visibility. </w:t>
      </w:r>
    </w:p>
    <w:p w14:paraId="7DE77694" w14:textId="77777777" w:rsidR="0044410E" w:rsidRDefault="0044410E" w:rsidP="0CD056D3">
      <w:pPr>
        <w:rPr>
          <w:rFonts w:ascii="Proxima Nova" w:hAnsi="Proxima Nova"/>
          <w:color w:val="000000"/>
        </w:rPr>
      </w:pPr>
    </w:p>
    <w:p w14:paraId="76449D7A" w14:textId="77777777" w:rsidR="0044410E" w:rsidRDefault="0044410E" w:rsidP="0CD056D3">
      <w:pPr>
        <w:rPr>
          <w:rFonts w:ascii="Proxima Nova" w:hAnsi="Proxima Nova"/>
          <w:color w:val="000000"/>
        </w:rPr>
      </w:pPr>
      <w:r w:rsidRPr="0044410E">
        <w:rPr>
          <w:rFonts w:ascii="Proxima Nova" w:hAnsi="Proxima Nova"/>
          <w:color w:val="000000"/>
        </w:rPr>
        <w:t xml:space="preserve">Furthermore, simplifying and accelerating permitting procedures is essential to ensure a sufficient and stable pipeline of renewable projects capable of entering into PPAs; significantly reducing authorisation timelines should therefore remain a policy priority. </w:t>
      </w:r>
    </w:p>
    <w:p w14:paraId="425DA330" w14:textId="77777777" w:rsidR="0044410E" w:rsidRDefault="0044410E" w:rsidP="0CD056D3">
      <w:pPr>
        <w:rPr>
          <w:rFonts w:ascii="Proxima Nova" w:hAnsi="Proxima Nova"/>
          <w:color w:val="000000"/>
        </w:rPr>
      </w:pPr>
    </w:p>
    <w:p w14:paraId="265959B9" w14:textId="33BD0A65" w:rsidR="009471FD" w:rsidRPr="0044410E" w:rsidRDefault="0044410E" w:rsidP="0CD056D3">
      <w:pPr>
        <w:rPr>
          <w:rFonts w:ascii="Proxima Nova" w:eastAsia="Proxima Nova" w:hAnsi="Proxima Nova" w:cs="Proxima Nova"/>
          <w:color w:val="000000" w:themeColor="text1"/>
          <w:lang w:val="en-US"/>
        </w:rPr>
      </w:pPr>
      <w:r w:rsidRPr="0044410E">
        <w:rPr>
          <w:rFonts w:ascii="Proxima Nova" w:hAnsi="Proxima Nova"/>
          <w:color w:val="000000"/>
        </w:rPr>
        <w:t>Finally, certain national regulatory restrictions continue to distort market functioning. For example, in Spain, the rule preventing operators holding more than 10% of generation capacity from signing physical PPAs with renewable assets in which they own less than 50% remains a significant barrier to market development. Introduced in 2014, this restriction no longer reflects the realities of today’s more mature and competitive renewable energy market.</w:t>
      </w:r>
    </w:p>
    <w:p w14:paraId="75048DDC" w14:textId="77777777" w:rsidR="009471FD" w:rsidRDefault="009471FD" w:rsidP="0CD056D3">
      <w:pPr>
        <w:rPr>
          <w:rFonts w:ascii="Proxima Nova" w:eastAsia="Proxima Nova" w:hAnsi="Proxima Nova" w:cs="Proxima Nova"/>
          <w:color w:val="000000" w:themeColor="text1"/>
          <w:lang w:val="en-US"/>
        </w:rPr>
      </w:pPr>
    </w:p>
    <w:p w14:paraId="3DADA575" w14:textId="77777777" w:rsidR="009471FD" w:rsidRDefault="009471FD" w:rsidP="0CD056D3">
      <w:pPr>
        <w:rPr>
          <w:rFonts w:ascii="Proxima Nova" w:eastAsia="Proxima Nova" w:hAnsi="Proxima Nova" w:cs="Proxima Nova"/>
          <w:color w:val="000000" w:themeColor="text1"/>
          <w:lang w:val="en-US"/>
        </w:rPr>
      </w:pPr>
    </w:p>
    <w:p w14:paraId="2D7D2C6F" w14:textId="77777777" w:rsidR="00AC6898" w:rsidRDefault="00AC6898" w:rsidP="0CD056D3">
      <w:pPr>
        <w:rPr>
          <w:rFonts w:ascii="Proxima Nova" w:eastAsia="Proxima Nova" w:hAnsi="Proxima Nova" w:cs="Proxima Nova"/>
          <w:color w:val="000000" w:themeColor="text1"/>
          <w:lang w:val="en-US"/>
        </w:rPr>
      </w:pPr>
    </w:p>
    <w:p w14:paraId="172184C6" w14:textId="77777777" w:rsidR="009471FD" w:rsidRDefault="009471FD" w:rsidP="0CD056D3">
      <w:pPr>
        <w:rPr>
          <w:rFonts w:ascii="Proxima Nova" w:eastAsia="Proxima Nova" w:hAnsi="Proxima Nova" w:cs="Proxima Nova"/>
          <w:color w:val="000000" w:themeColor="text1"/>
          <w:lang w:val="en-US"/>
        </w:rPr>
      </w:pPr>
    </w:p>
    <w:p w14:paraId="768A916C" w14:textId="77777777" w:rsidR="00AA15A1" w:rsidRPr="002656A5" w:rsidRDefault="00AA15A1" w:rsidP="0CD056D3">
      <w:pPr>
        <w:rPr>
          <w:rFonts w:ascii="Proxima Nova" w:eastAsia="Proxima Nova" w:hAnsi="Proxima Nova" w:cs="Proxima Nova"/>
          <w:b/>
          <w:bCs/>
          <w:color w:val="000000" w:themeColor="text1"/>
          <w:lang w:val="en-GB"/>
        </w:rPr>
      </w:pPr>
    </w:p>
    <w:p w14:paraId="0B7A7F9E" w14:textId="3AEEA3A2" w:rsidR="00204063" w:rsidRPr="002656A5" w:rsidRDefault="00204063" w:rsidP="00930A9C">
      <w:pPr>
        <w:pStyle w:val="Heading2"/>
        <w:rPr>
          <w:rFonts w:eastAsia="Proxima Nova" w:cs="Proxima Nova"/>
        </w:rPr>
      </w:pPr>
      <w:r w:rsidRPr="0CD056D3">
        <w:rPr>
          <w:rFonts w:eastAsia="Proxima Nova" w:cs="Proxima Nova"/>
        </w:rPr>
        <w:t>Contact</w:t>
      </w:r>
    </w:p>
    <w:p w14:paraId="08C7F864" w14:textId="6EE00B50" w:rsidR="00204063" w:rsidRPr="002656A5" w:rsidRDefault="00204063" w:rsidP="0CD056D3">
      <w:pPr>
        <w:rPr>
          <w:rFonts w:ascii="Proxima Nova" w:eastAsia="Proxima Nova" w:hAnsi="Proxima Nova" w:cs="Proxima Nova"/>
          <w:color w:val="000000" w:themeColor="text1"/>
          <w:lang w:val="en-US"/>
        </w:rPr>
      </w:pPr>
      <w:r w:rsidRPr="0CD056D3">
        <w:rPr>
          <w:rFonts w:ascii="Proxima Nova" w:eastAsia="Proxima Nova" w:hAnsi="Proxima Nova" w:cs="Proxima Nova"/>
          <w:color w:val="000000" w:themeColor="text1"/>
          <w:lang w:val="en-US"/>
        </w:rPr>
        <w:t>Name</w:t>
      </w:r>
      <w:r w:rsidR="00B07DFF" w:rsidRPr="0CD056D3">
        <w:rPr>
          <w:rFonts w:ascii="Proxima Nova" w:eastAsia="Proxima Nova" w:hAnsi="Proxima Nova" w:cs="Proxima Nova"/>
          <w:color w:val="000000" w:themeColor="text1"/>
          <w:lang w:val="en-US"/>
        </w:rPr>
        <w:t>: Andrej Stancik</w:t>
      </w:r>
    </w:p>
    <w:p w14:paraId="6C65A255" w14:textId="20D4BDC9" w:rsidR="00204063" w:rsidRPr="002656A5" w:rsidRDefault="00204063" w:rsidP="0CD056D3">
      <w:pPr>
        <w:rPr>
          <w:rFonts w:ascii="Proxima Nova" w:eastAsia="Proxima Nova" w:hAnsi="Proxima Nova" w:cs="Proxima Nova"/>
          <w:color w:val="000000" w:themeColor="text1"/>
          <w:lang w:val="en-US"/>
        </w:rPr>
      </w:pPr>
      <w:r w:rsidRPr="0CD056D3">
        <w:rPr>
          <w:rFonts w:ascii="Proxima Nova" w:eastAsia="Proxima Nova" w:hAnsi="Proxima Nova" w:cs="Proxima Nova"/>
          <w:color w:val="000000" w:themeColor="text1"/>
          <w:lang w:val="en-US"/>
        </w:rPr>
        <w:t>Position</w:t>
      </w:r>
      <w:r w:rsidR="00B07DFF" w:rsidRPr="0CD056D3">
        <w:rPr>
          <w:rFonts w:ascii="Proxima Nova" w:eastAsia="Proxima Nova" w:hAnsi="Proxima Nova" w:cs="Proxima Nova"/>
          <w:color w:val="000000" w:themeColor="text1"/>
          <w:lang w:val="en-US"/>
        </w:rPr>
        <w:t>: Senior Policy Advisor</w:t>
      </w:r>
      <w:r w:rsidR="00D433D5">
        <w:rPr>
          <w:rFonts w:ascii="Proxima Nova" w:eastAsia="Proxima Nova" w:hAnsi="Proxima Nova" w:cs="Proxima Nova"/>
          <w:color w:val="000000" w:themeColor="text1"/>
          <w:lang w:val="en-US"/>
        </w:rPr>
        <w:t xml:space="preserve"> (Electricity Committee)</w:t>
      </w:r>
    </w:p>
    <w:p w14:paraId="2C1951EE" w14:textId="5F8FB45C" w:rsidR="00204063" w:rsidRDefault="00204063" w:rsidP="0CD056D3">
      <w:pPr>
        <w:rPr>
          <w:rStyle w:val="Hyperlink"/>
          <w:rFonts w:ascii="Proxima Nova" w:eastAsia="Proxima Nova" w:hAnsi="Proxima Nova" w:cs="Proxima Nova"/>
          <w:color w:val="24599B"/>
          <w:lang w:val="it"/>
        </w:rPr>
      </w:pPr>
      <w:r w:rsidRPr="0CD056D3">
        <w:rPr>
          <w:rFonts w:ascii="Proxima Nova" w:eastAsia="Proxima Nova" w:hAnsi="Proxima Nova" w:cs="Proxima Nova"/>
          <w:color w:val="000000" w:themeColor="text1"/>
          <w:lang w:val="it"/>
        </w:rPr>
        <w:t>E-Mail</w:t>
      </w:r>
      <w:r w:rsidR="00B07DFF" w:rsidRPr="0CD056D3">
        <w:rPr>
          <w:rFonts w:ascii="Proxima Nova" w:eastAsia="Proxima Nova" w:hAnsi="Proxima Nova" w:cs="Proxima Nova"/>
          <w:color w:val="000000" w:themeColor="text1"/>
          <w:lang w:val="it"/>
        </w:rPr>
        <w:t xml:space="preserve">: </w:t>
      </w:r>
      <w:hyperlink r:id="rId11">
        <w:r w:rsidR="0CD056D3" w:rsidRPr="0CD056D3">
          <w:rPr>
            <w:rStyle w:val="Hyperlink"/>
            <w:rFonts w:ascii="Proxima Nova" w:eastAsia="Proxima Nova" w:hAnsi="Proxima Nova" w:cs="Proxima Nova"/>
            <w:color w:val="24599B"/>
            <w:lang w:val="it"/>
          </w:rPr>
          <w:t>a.stancik@energytraderseurope.org</w:t>
        </w:r>
      </w:hyperlink>
    </w:p>
    <w:p w14:paraId="674082E8" w14:textId="77777777" w:rsidR="00C33468" w:rsidRDefault="00C33468" w:rsidP="0CD056D3">
      <w:pPr>
        <w:rPr>
          <w:rStyle w:val="Hyperlink"/>
          <w:rFonts w:ascii="Proxima Nova" w:eastAsia="Proxima Nova" w:hAnsi="Proxima Nova" w:cs="Proxima Nova"/>
          <w:color w:val="24599B"/>
          <w:lang w:val="it"/>
        </w:rPr>
      </w:pPr>
    </w:p>
    <w:p w14:paraId="3F8E2B1C" w14:textId="3543CDA6" w:rsidR="00C33468" w:rsidRPr="00403661" w:rsidRDefault="00C33468" w:rsidP="0CD056D3">
      <w:pPr>
        <w:rPr>
          <w:rFonts w:ascii="Proxima Nova" w:eastAsia="Proxima Nova" w:hAnsi="Proxima Nova" w:cs="Proxima Nova"/>
          <w:lang w:val="it-IT"/>
        </w:rPr>
      </w:pPr>
    </w:p>
    <w:p w14:paraId="0792F386" w14:textId="6BC1B5FA" w:rsidR="00204063" w:rsidRPr="002656A5" w:rsidRDefault="00204063" w:rsidP="00B07DFF">
      <w:pPr>
        <w:pStyle w:val="BulletParagraph"/>
        <w:numPr>
          <w:ilvl w:val="0"/>
          <w:numId w:val="0"/>
        </w:numPr>
        <w:rPr>
          <w:rFonts w:ascii="Calibri" w:eastAsia="Times New Roman" w:hAnsi="Calibri" w:cs="Calibri"/>
          <w:color w:val="000000"/>
          <w:lang w:val="it-IT" w:eastAsia="de-DE"/>
        </w:rPr>
      </w:pPr>
    </w:p>
    <w:sectPr w:rsidR="00204063" w:rsidRPr="002656A5" w:rsidSect="00A10C0F">
      <w:headerReference w:type="even" r:id="rId12"/>
      <w:headerReference w:type="default" r:id="rId13"/>
      <w:footerReference w:type="even" r:id="rId14"/>
      <w:footerReference w:type="default" r:id="rId15"/>
      <w:headerReference w:type="first" r:id="rId16"/>
      <w:footerReference w:type="first" r:id="rId17"/>
      <w:pgSz w:w="11900" w:h="16840"/>
      <w:pgMar w:top="3005"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41D5" w14:textId="77777777" w:rsidR="0008271C" w:rsidRDefault="0008271C" w:rsidP="0018313B">
      <w:pPr>
        <w:spacing w:line="240" w:lineRule="auto"/>
      </w:pPr>
      <w:r>
        <w:separator/>
      </w:r>
    </w:p>
    <w:p w14:paraId="15CF68BD" w14:textId="77777777" w:rsidR="0008271C" w:rsidRDefault="0008271C"/>
  </w:endnote>
  <w:endnote w:type="continuationSeparator" w:id="0">
    <w:p w14:paraId="6AE1FF54" w14:textId="77777777" w:rsidR="0008271C" w:rsidRDefault="0008271C" w:rsidP="0018313B">
      <w:pPr>
        <w:spacing w:line="240" w:lineRule="auto"/>
      </w:pPr>
      <w:r>
        <w:continuationSeparator/>
      </w:r>
    </w:p>
    <w:p w14:paraId="7B0D2855" w14:textId="77777777" w:rsidR="0008271C" w:rsidRDefault="0008271C"/>
  </w:endnote>
  <w:endnote w:type="continuationNotice" w:id="1">
    <w:p w14:paraId="6F4E9FA7" w14:textId="77777777" w:rsidR="0008271C" w:rsidRDefault="000827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roxima Nova Light">
    <w:panose1 w:val="02000506030000020004"/>
    <w:charset w:val="00"/>
    <w:family w:val="auto"/>
    <w:pitch w:val="variable"/>
    <w:sig w:usb0="20000287" w:usb1="00000001" w:usb2="00000000" w:usb3="00000000" w:csb0="0000019F" w:csb1="00000000"/>
  </w:font>
  <w:font w:name="Proxima Nova Black">
    <w:altName w:val="Tahoma"/>
    <w:panose1 w:val="020B0604020202020204"/>
    <w:charset w:val="00"/>
    <w:family w:val="auto"/>
    <w:notTrueType/>
    <w:pitch w:val="variable"/>
    <w:sig w:usb0="A00002EF" w:usb1="5000E0FB" w:usb2="00000000" w:usb3="00000000" w:csb0="0000019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Bold">
    <w:altName w:val="Proxima Nova"/>
    <w:panose1 w:val="020005060300000200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4669973"/>
      <w:docPartObj>
        <w:docPartGallery w:val="Page Numbers (Bottom of Page)"/>
        <w:docPartUnique/>
      </w:docPartObj>
    </w:sdtPr>
    <w:sdtEndPr>
      <w:rPr>
        <w:rStyle w:val="PageNumber"/>
      </w:rPr>
    </w:sdtEndPr>
    <w:sdtContent>
      <w:p w14:paraId="2374591A" w14:textId="77777777" w:rsidR="0018313B" w:rsidRDefault="0018313B" w:rsidP="002043F0">
        <w:pPr>
          <w:pStyle w:val="Footer"/>
          <w:framePr w:w="766" w:wrap="notBeside" w:vAnchor="page" w:hAnchor="page" w:x="10021" w:y="14658"/>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4538D9">
          <w:rPr>
            <w:rStyle w:val="PageNumber"/>
            <w:noProof/>
          </w:rPr>
          <w:t>2</w:t>
        </w:r>
        <w:r>
          <w:rPr>
            <w:rStyle w:val="PageNumber"/>
          </w:rPr>
          <w:fldChar w:fldCharType="end"/>
        </w:r>
        <w:r w:rsidR="00477AC9">
          <w:rPr>
            <w:rStyle w:val="PageNumber"/>
          </w:rPr>
          <w:t xml:space="preserve"> of </w:t>
        </w:r>
        <w:r w:rsidR="00477AC9">
          <w:rPr>
            <w:rStyle w:val="PageNumber"/>
          </w:rPr>
          <w:fldChar w:fldCharType="begin"/>
        </w:r>
        <w:r w:rsidR="00477AC9">
          <w:rPr>
            <w:rStyle w:val="PageNumber"/>
          </w:rPr>
          <w:instrText xml:space="preserve"> NUMPAGES  \* MERGEFORMAT </w:instrText>
        </w:r>
        <w:r w:rsidR="00477AC9">
          <w:rPr>
            <w:rStyle w:val="PageNumber"/>
          </w:rPr>
          <w:fldChar w:fldCharType="separate"/>
        </w:r>
        <w:r w:rsidR="00477AC9">
          <w:rPr>
            <w:rStyle w:val="PageNumber"/>
            <w:noProof/>
          </w:rPr>
          <w:t>2</w:t>
        </w:r>
        <w:r w:rsidR="00477AC9">
          <w:rPr>
            <w:rStyle w:val="PageNumber"/>
          </w:rPr>
          <w:fldChar w:fldCharType="end"/>
        </w:r>
        <w:r w:rsidR="00477AC9">
          <w:rPr>
            <w:rStyle w:val="PageNumber"/>
          </w:rPr>
          <w:t xml:space="preserve"> </w:t>
        </w:r>
      </w:p>
    </w:sdtContent>
  </w:sdt>
  <w:p w14:paraId="418B01A1" w14:textId="77777777" w:rsidR="0018313B" w:rsidRDefault="00753813" w:rsidP="0018313B">
    <w:pPr>
      <w:pStyle w:val="Footer"/>
      <w:ind w:right="360"/>
    </w:pPr>
    <w:r>
      <w:rPr>
        <w:noProof/>
      </w:rPr>
      <w:drawing>
        <wp:anchor distT="0" distB="0" distL="114300" distR="114300" simplePos="0" relativeHeight="251658240" behindDoc="1" locked="0" layoutInCell="1" allowOverlap="1" wp14:anchorId="587A62CA" wp14:editId="6A2CB1CD">
          <wp:simplePos x="0" y="0"/>
          <wp:positionH relativeFrom="page">
            <wp:posOffset>9525</wp:posOffset>
          </wp:positionH>
          <wp:positionV relativeFrom="page">
            <wp:posOffset>9496425</wp:posOffset>
          </wp:positionV>
          <wp:extent cx="7544955" cy="849600"/>
          <wp:effectExtent l="0" t="0" r="0" b="0"/>
          <wp:wrapNone/>
          <wp:docPr id="7607509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5090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44955" cy="849600"/>
                  </a:xfrm>
                  <a:prstGeom prst="rect">
                    <a:avLst/>
                  </a:prstGeom>
                </pic:spPr>
              </pic:pic>
            </a:graphicData>
          </a:graphic>
          <wp14:sizeRelH relativeFrom="page">
            <wp14:pctWidth>0</wp14:pctWidth>
          </wp14:sizeRelH>
          <wp14:sizeRelV relativeFrom="page">
            <wp14:pctHeight>0</wp14:pctHeight>
          </wp14:sizeRelV>
        </wp:anchor>
      </w:drawing>
    </w:r>
  </w:p>
  <w:p w14:paraId="0CCA4666" w14:textId="77777777" w:rsidR="00A25318" w:rsidRDefault="00A253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A68A" w14:textId="77777777" w:rsidR="0018313B" w:rsidRDefault="0018313B" w:rsidP="002043F0">
    <w:pPr>
      <w:pStyle w:val="Footer"/>
      <w:framePr w:w="841" w:wrap="notBeside" w:vAnchor="page" w:hAnchor="page" w:x="9976" w:y="14658"/>
      <w:jc w:val="right"/>
      <w:rPr>
        <w:rStyle w:val="PageNumber"/>
      </w:rPr>
    </w:pPr>
    <w:r>
      <w:rPr>
        <w:rStyle w:val="PageNumber"/>
      </w:rPr>
      <w:t xml:space="preserve"> </w:t>
    </w:r>
    <w:sdt>
      <w:sdtPr>
        <w:rPr>
          <w:rStyle w:val="PageNumber"/>
        </w:rPr>
        <w:id w:val="497316908"/>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sdtContent>
    </w:sdt>
  </w:p>
  <w:p w14:paraId="2B37C26B" w14:textId="77777777" w:rsidR="0018313B" w:rsidRDefault="0018313B" w:rsidP="0018313B">
    <w:pPr>
      <w:pStyle w:val="Footer"/>
      <w:ind w:right="360"/>
    </w:pPr>
    <w:r>
      <w:rPr>
        <w:noProof/>
      </w:rPr>
      <w:drawing>
        <wp:anchor distT="0" distB="0" distL="114300" distR="114300" simplePos="0" relativeHeight="251658243" behindDoc="0" locked="0" layoutInCell="1" allowOverlap="1" wp14:anchorId="4FADFE2E" wp14:editId="60FD1C73">
          <wp:simplePos x="0" y="0"/>
          <wp:positionH relativeFrom="page">
            <wp:posOffset>1</wp:posOffset>
          </wp:positionH>
          <wp:positionV relativeFrom="page">
            <wp:posOffset>9496425</wp:posOffset>
          </wp:positionV>
          <wp:extent cx="7559998" cy="851294"/>
          <wp:effectExtent l="0" t="0" r="0" b="0"/>
          <wp:wrapNone/>
          <wp:docPr id="1016680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082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9998" cy="851294"/>
                  </a:xfrm>
                  <a:prstGeom prst="rect">
                    <a:avLst/>
                  </a:prstGeom>
                </pic:spPr>
              </pic:pic>
            </a:graphicData>
          </a:graphic>
          <wp14:sizeRelH relativeFrom="page">
            <wp14:pctWidth>0</wp14:pctWidth>
          </wp14:sizeRelH>
          <wp14:sizeRelV relativeFrom="page">
            <wp14:pctHeight>0</wp14:pctHeight>
          </wp14:sizeRelV>
        </wp:anchor>
      </w:drawing>
    </w:r>
  </w:p>
  <w:p w14:paraId="152A44E3" w14:textId="77777777" w:rsidR="00A25318" w:rsidRDefault="00A253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14FD" w14:textId="77777777" w:rsidR="00D12779" w:rsidRDefault="00E4256F" w:rsidP="002043F0">
    <w:pPr>
      <w:pStyle w:val="Footer"/>
      <w:framePr w:w="736" w:wrap="notBeside" w:vAnchor="page" w:hAnchor="page" w:x="10021" w:y="14658"/>
      <w:jc w:val="right"/>
      <w:rPr>
        <w:rStyle w:val="PageNumber"/>
      </w:rPr>
    </w:pPr>
    <w:sdt>
      <w:sdtPr>
        <w:rPr>
          <w:rStyle w:val="PageNumber"/>
        </w:rPr>
        <w:id w:val="-899671611"/>
        <w:docPartObj>
          <w:docPartGallery w:val="Page Numbers (Bottom of Page)"/>
          <w:docPartUnique/>
        </w:docPartObj>
      </w:sdtPr>
      <w:sdtEndPr>
        <w:rPr>
          <w:rStyle w:val="PageNumber"/>
        </w:rPr>
      </w:sdtEndPr>
      <w:sdtContent>
        <w:r w:rsidR="00D12779">
          <w:rPr>
            <w:rStyle w:val="PageNumber"/>
          </w:rPr>
          <w:fldChar w:fldCharType="begin"/>
        </w:r>
        <w:r w:rsidR="00D12779">
          <w:rPr>
            <w:rStyle w:val="PageNumber"/>
          </w:rPr>
          <w:instrText xml:space="preserve"> PAGE </w:instrText>
        </w:r>
        <w:r w:rsidR="00D12779">
          <w:rPr>
            <w:rStyle w:val="PageNumber"/>
          </w:rPr>
          <w:fldChar w:fldCharType="separate"/>
        </w:r>
        <w:r w:rsidR="00D12779">
          <w:rPr>
            <w:rStyle w:val="PageNumber"/>
            <w:noProof/>
          </w:rPr>
          <w:t>1</w:t>
        </w:r>
        <w:r w:rsidR="00D12779">
          <w:rPr>
            <w:rStyle w:val="PageNumber"/>
          </w:rPr>
          <w:fldChar w:fldCharType="end"/>
        </w:r>
      </w:sdtContent>
    </w:sdt>
    <w:r w:rsidR="00D12779">
      <w:rPr>
        <w:rStyle w:val="PageNumber"/>
      </w:rPr>
      <w:t xml:space="preserve"> of </w:t>
    </w:r>
    <w:r w:rsidR="00D12779">
      <w:rPr>
        <w:rStyle w:val="PageNumber"/>
      </w:rPr>
      <w:fldChar w:fldCharType="begin"/>
    </w:r>
    <w:r w:rsidR="00D12779">
      <w:rPr>
        <w:rStyle w:val="PageNumber"/>
      </w:rPr>
      <w:instrText xml:space="preserve"> NUMPAGES  \* MERGEFORMAT </w:instrText>
    </w:r>
    <w:r w:rsidR="00D12779">
      <w:rPr>
        <w:rStyle w:val="PageNumber"/>
      </w:rPr>
      <w:fldChar w:fldCharType="separate"/>
    </w:r>
    <w:r w:rsidR="00D12779">
      <w:rPr>
        <w:rStyle w:val="PageNumber"/>
        <w:noProof/>
      </w:rPr>
      <w:t>2</w:t>
    </w:r>
    <w:r w:rsidR="00D12779">
      <w:rPr>
        <w:rStyle w:val="PageNumber"/>
      </w:rPr>
      <w:fldChar w:fldCharType="end"/>
    </w:r>
  </w:p>
  <w:p w14:paraId="539E18AF" w14:textId="77777777" w:rsidR="00B63543" w:rsidRDefault="008C626C" w:rsidP="00D12779">
    <w:pPr>
      <w:pStyle w:val="Footer"/>
      <w:ind w:right="360"/>
    </w:pPr>
    <w:r>
      <w:rPr>
        <w:noProof/>
      </w:rPr>
      <w:drawing>
        <wp:anchor distT="0" distB="0" distL="114300" distR="114300" simplePos="0" relativeHeight="251658244" behindDoc="0" locked="0" layoutInCell="1" allowOverlap="1" wp14:anchorId="133416B3" wp14:editId="50577B5C">
          <wp:simplePos x="0" y="0"/>
          <wp:positionH relativeFrom="page">
            <wp:posOffset>1</wp:posOffset>
          </wp:positionH>
          <wp:positionV relativeFrom="page">
            <wp:posOffset>9496425</wp:posOffset>
          </wp:positionV>
          <wp:extent cx="7559998" cy="851294"/>
          <wp:effectExtent l="0" t="0" r="0" b="0"/>
          <wp:wrapNone/>
          <wp:docPr id="1371293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93518"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9998" cy="851294"/>
                  </a:xfrm>
                  <a:prstGeom prst="rect">
                    <a:avLst/>
                  </a:prstGeom>
                </pic:spPr>
              </pic:pic>
            </a:graphicData>
          </a:graphic>
          <wp14:sizeRelH relativeFrom="page">
            <wp14:pctWidth>0</wp14:pctWidth>
          </wp14:sizeRelH>
          <wp14:sizeRelV relativeFrom="page">
            <wp14:pctHeight>0</wp14:pctHeight>
          </wp14:sizeRelV>
        </wp:anchor>
      </w:drawing>
    </w:r>
  </w:p>
  <w:p w14:paraId="7325C531" w14:textId="77777777" w:rsidR="00A25318" w:rsidRDefault="00A25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D0AD" w14:textId="77777777" w:rsidR="0008271C" w:rsidRDefault="0008271C" w:rsidP="0018313B">
      <w:pPr>
        <w:spacing w:line="240" w:lineRule="auto"/>
      </w:pPr>
      <w:r>
        <w:separator/>
      </w:r>
    </w:p>
    <w:p w14:paraId="0A963499" w14:textId="77777777" w:rsidR="0008271C" w:rsidRDefault="0008271C"/>
  </w:footnote>
  <w:footnote w:type="continuationSeparator" w:id="0">
    <w:p w14:paraId="420858CF" w14:textId="77777777" w:rsidR="0008271C" w:rsidRDefault="0008271C" w:rsidP="0018313B">
      <w:pPr>
        <w:spacing w:line="240" w:lineRule="auto"/>
      </w:pPr>
      <w:r>
        <w:continuationSeparator/>
      </w:r>
    </w:p>
    <w:p w14:paraId="5543E0C7" w14:textId="77777777" w:rsidR="0008271C" w:rsidRDefault="0008271C"/>
  </w:footnote>
  <w:footnote w:type="continuationNotice" w:id="1">
    <w:p w14:paraId="00128B84" w14:textId="77777777" w:rsidR="0008271C" w:rsidRDefault="000827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A176" w14:textId="77777777" w:rsidR="004538D9" w:rsidRDefault="004538D9">
    <w:pPr>
      <w:pStyle w:val="Header"/>
    </w:pPr>
    <w:r>
      <w:rPr>
        <w:noProof/>
      </w:rPr>
      <w:drawing>
        <wp:anchor distT="0" distB="0" distL="114300" distR="114300" simplePos="0" relativeHeight="251658247" behindDoc="0" locked="0" layoutInCell="1" allowOverlap="1" wp14:anchorId="2B77E3B7" wp14:editId="31679C81">
          <wp:simplePos x="0" y="0"/>
          <wp:positionH relativeFrom="page">
            <wp:posOffset>5137785</wp:posOffset>
          </wp:positionH>
          <wp:positionV relativeFrom="page">
            <wp:posOffset>590550</wp:posOffset>
          </wp:positionV>
          <wp:extent cx="1692000" cy="734400"/>
          <wp:effectExtent l="0" t="0" r="0" b="2540"/>
          <wp:wrapNone/>
          <wp:docPr id="153620838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36907" name="Graphic 165373690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734400"/>
                  </a:xfrm>
                  <a:prstGeom prst="rect">
                    <a:avLst/>
                  </a:prstGeom>
                </pic:spPr>
              </pic:pic>
            </a:graphicData>
          </a:graphic>
          <wp14:sizeRelH relativeFrom="page">
            <wp14:pctWidth>0</wp14:pctWidth>
          </wp14:sizeRelH>
          <wp14:sizeRelV relativeFrom="page">
            <wp14:pctHeight>0</wp14:pctHeight>
          </wp14:sizeRelV>
        </wp:anchor>
      </w:drawing>
    </w:r>
  </w:p>
  <w:p w14:paraId="6A9C0ACD" w14:textId="77777777" w:rsidR="00A25318" w:rsidRDefault="00A253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C98D" w14:textId="77777777" w:rsidR="0018313B" w:rsidRDefault="0018313B">
    <w:pPr>
      <w:pStyle w:val="Header"/>
    </w:pPr>
    <w:r>
      <w:rPr>
        <w:noProof/>
      </w:rPr>
      <mc:AlternateContent>
        <mc:Choice Requires="wps">
          <w:drawing>
            <wp:anchor distT="0" distB="0" distL="114300" distR="114300" simplePos="0" relativeHeight="251658242" behindDoc="0" locked="0" layoutInCell="1" allowOverlap="1" wp14:anchorId="6EEBBD1A" wp14:editId="64C29025">
              <wp:simplePos x="0" y="0"/>
              <wp:positionH relativeFrom="page">
                <wp:posOffset>713105</wp:posOffset>
              </wp:positionH>
              <wp:positionV relativeFrom="page">
                <wp:posOffset>632714</wp:posOffset>
              </wp:positionV>
              <wp:extent cx="4122000" cy="806400"/>
              <wp:effectExtent l="0" t="0" r="5715" b="6985"/>
              <wp:wrapNone/>
              <wp:docPr id="464247763" name="Text Box 3"/>
              <wp:cNvGraphicFramePr/>
              <a:graphic xmlns:a="http://schemas.openxmlformats.org/drawingml/2006/main">
                <a:graphicData uri="http://schemas.microsoft.com/office/word/2010/wordprocessingShape">
                  <wps:wsp>
                    <wps:cNvSpPr txBox="1"/>
                    <wps:spPr>
                      <a:xfrm>
                        <a:off x="0" y="0"/>
                        <a:ext cx="4122000" cy="806400"/>
                      </a:xfrm>
                      <a:prstGeom prst="rect">
                        <a:avLst/>
                      </a:prstGeom>
                      <a:noFill/>
                      <a:ln w="6350">
                        <a:noFill/>
                      </a:ln>
                    </wps:spPr>
                    <wps:txbx>
                      <w:txbxContent>
                        <w:p w14:paraId="47246A50" w14:textId="77777777" w:rsidR="0018313B" w:rsidRPr="000A72CF" w:rsidRDefault="00C16839" w:rsidP="00170A1F">
                          <w:pPr>
                            <w:pStyle w:val="HeaderTitle"/>
                          </w:pPr>
                          <w:r>
                            <w:t xml:space="preserve">CONSULTATION </w:t>
                          </w:r>
                          <w:r>
                            <w:br/>
                            <w:t>RESPONSE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BBD1A" id="_x0000_t202" coordsize="21600,21600" o:spt="202" path="m,l,21600r21600,l21600,xe">
              <v:stroke joinstyle="miter"/>
              <v:path gradientshapeok="t" o:connecttype="rect"/>
            </v:shapetype>
            <v:shape id="Text Box 3" o:spid="_x0000_s1026" type="#_x0000_t202" style="position:absolute;margin-left:56.15pt;margin-top:49.8pt;width:324.55pt;height:6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H5UDAIAABwEAAAOAAAAZHJzL2Uyb0RvYy54bWysU01v2zAMvQ/YfxB0X+xkXVAYcYqsRYYB&#13;&#10;QVsgHXpWZCk2IIsapcTOfv0oOU6KbqdhF5oWKX6897S461vDjgp9A7bk00nOmbISqsbuS/7jZf3p&#13;&#10;ljMfhK2EAatKflKe3y0/flh0rlAzqMFUChkVsb7oXMnrEFyRZV7WqhV+Ak5ZCmrAVgT6xX1Woeio&#13;&#10;emuyWZ7Psw6wcghSeU+nD0OQL1N9rZUMT1p7FZgpOc0WksVkd9Fmy4Uo9ihc3cjzGOIfpmhFY6np&#13;&#10;pdSDCIIdsPmjVNtIBA86TCS0GWjdSJV2oG2m+btttrVwKu1C4Hh3gcn/v7Ly8bh1z8hC/xV6IjAC&#13;&#10;0jlfeDqM+/Qa2/ilSRnFCcLTBTbVBybp8GY6IyooJCl2m89vyKcy2fW2Qx++KWhZdEqOREtCSxw3&#13;&#10;PgypY0psZmHdGJOoMZZ1JZ9//pKnC5cIFTeWelxnjV7od/15gR1UJ9oLYaDcO7luqPlG+PAskDim&#13;&#10;eUm34YmMNkBN4OxxVgP++tt5zCfoKcpZR5opuf95EKg4M98tkRIFNjo4OrvRsYf2HkiGU3oRTiaX&#13;&#10;LmAwo6sR2leS8yp2oZCwknqVPIzufRiUS89BqtUqJZGMnAgbu3Uylo7wRShf+leB7ox3IKYeYVST&#13;&#10;KN7BPuQOwK8OAXSTOImADiiecSYJJlbPzyVq/O1/yro+6uVvAAAA//8DAFBLAwQUAAYACAAAACEA&#13;&#10;0Vvai+EAAAAPAQAADwAAAGRycy9kb3ducmV2LnhtbExPS0+DQBC+m/gfNmPizS6gwZayNMbqTau2&#13;&#10;muhtYUcg7oPsLhT/veNJL5N8me9Zbmaj2YQ+9M4KSBcJMLSNU71tBbwe7i+WwEKUVkntLAr4xgCb&#13;&#10;6vSklIVyR/uC0z62jExsKKSALsah4Dw0HRoZFm5AS79P542MBH3LlZdHMjeaZ0mScyN7SwmdHPC2&#13;&#10;w+ZrPxoB+j34hzqJH9O2fYzPT3x8u0t3Qpyfzds1nZs1sIhz/FPA7wbqDxUVq91oVWCacJpdElXA&#13;&#10;apUDI8J1nl4BqwVkWZ4Dr0r+f0f1AwAA//8DAFBLAQItABQABgAIAAAAIQC2gziS/gAAAOEBAAAT&#13;&#10;AAAAAAAAAAAAAAAAAAAAAABbQ29udGVudF9UeXBlc10ueG1sUEsBAi0AFAAGAAgAAAAhADj9If/W&#13;&#10;AAAAlAEAAAsAAAAAAAAAAAAAAAAALwEAAF9yZWxzLy5yZWxzUEsBAi0AFAAGAAgAAAAhAD1MflQM&#13;&#10;AgAAHAQAAA4AAAAAAAAAAAAAAAAALgIAAGRycy9lMm9Eb2MueG1sUEsBAi0AFAAGAAgAAAAhANFb&#13;&#10;2ovhAAAADwEAAA8AAAAAAAAAAAAAAAAAZgQAAGRycy9kb3ducmV2LnhtbFBLBQYAAAAABAAEAPMA&#13;&#10;AAB0BQAAAAA=&#13;&#10;" filled="f" stroked="f" strokeweight=".5pt">
              <v:textbox inset="0,0,0,0">
                <w:txbxContent>
                  <w:p w14:paraId="47246A50" w14:textId="77777777" w:rsidR="0018313B" w:rsidRPr="000A72CF" w:rsidRDefault="00C16839" w:rsidP="00170A1F">
                    <w:pPr>
                      <w:pStyle w:val="HeaderTitle"/>
                    </w:pPr>
                    <w:r>
                      <w:t xml:space="preserve">CONSULTATION </w:t>
                    </w:r>
                    <w:r>
                      <w:br/>
                      <w:t>RESPONSE</w:t>
                    </w:r>
                  </w:p>
                </w:txbxContent>
              </v:textbox>
              <w10:wrap anchorx="page" anchory="page"/>
            </v:shape>
          </w:pict>
        </mc:Fallback>
      </mc:AlternateContent>
    </w:r>
    <w:r>
      <w:rPr>
        <w:noProof/>
      </w:rPr>
      <w:drawing>
        <wp:anchor distT="0" distB="0" distL="114300" distR="114300" simplePos="0" relativeHeight="251658241" behindDoc="0" locked="0" layoutInCell="1" allowOverlap="1" wp14:anchorId="1720C578" wp14:editId="5F4440E4">
          <wp:simplePos x="0" y="0"/>
          <wp:positionH relativeFrom="page">
            <wp:posOffset>5137785</wp:posOffset>
          </wp:positionH>
          <wp:positionV relativeFrom="page">
            <wp:posOffset>591820</wp:posOffset>
          </wp:positionV>
          <wp:extent cx="1692000" cy="734400"/>
          <wp:effectExtent l="0" t="0" r="0" b="2540"/>
          <wp:wrapNone/>
          <wp:docPr id="181824721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36907" name="Graphic 165373690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734400"/>
                  </a:xfrm>
                  <a:prstGeom prst="rect">
                    <a:avLst/>
                  </a:prstGeom>
                </pic:spPr>
              </pic:pic>
            </a:graphicData>
          </a:graphic>
          <wp14:sizeRelH relativeFrom="page">
            <wp14:pctWidth>0</wp14:pctWidth>
          </wp14:sizeRelH>
          <wp14:sizeRelV relativeFrom="page">
            <wp14:pctHeight>0</wp14:pctHeight>
          </wp14:sizeRelV>
        </wp:anchor>
      </w:drawing>
    </w:r>
  </w:p>
  <w:p w14:paraId="60230DFF" w14:textId="77777777" w:rsidR="00A25318" w:rsidRDefault="00A253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2C8A" w14:textId="77777777" w:rsidR="00D12779" w:rsidRDefault="00CF7AB7">
    <w:pPr>
      <w:pStyle w:val="Header"/>
    </w:pPr>
    <w:r>
      <w:rPr>
        <w:noProof/>
      </w:rPr>
      <mc:AlternateContent>
        <mc:Choice Requires="wps">
          <w:drawing>
            <wp:anchor distT="0" distB="0" distL="114300" distR="114300" simplePos="0" relativeHeight="251658246" behindDoc="0" locked="0" layoutInCell="1" allowOverlap="1" wp14:anchorId="69395DA3" wp14:editId="58CA2BB4">
              <wp:simplePos x="0" y="0"/>
              <wp:positionH relativeFrom="page">
                <wp:posOffset>715617</wp:posOffset>
              </wp:positionH>
              <wp:positionV relativeFrom="page">
                <wp:posOffset>636104</wp:posOffset>
              </wp:positionV>
              <wp:extent cx="3633746" cy="805815"/>
              <wp:effectExtent l="0" t="0" r="0" b="6985"/>
              <wp:wrapNone/>
              <wp:docPr id="2143285612" name="Text Box 3"/>
              <wp:cNvGraphicFramePr/>
              <a:graphic xmlns:a="http://schemas.openxmlformats.org/drawingml/2006/main">
                <a:graphicData uri="http://schemas.microsoft.com/office/word/2010/wordprocessingShape">
                  <wps:wsp>
                    <wps:cNvSpPr txBox="1"/>
                    <wps:spPr>
                      <a:xfrm>
                        <a:off x="0" y="0"/>
                        <a:ext cx="3633746" cy="805815"/>
                      </a:xfrm>
                      <a:prstGeom prst="rect">
                        <a:avLst/>
                      </a:prstGeom>
                      <a:noFill/>
                      <a:ln w="6350">
                        <a:noFill/>
                      </a:ln>
                    </wps:spPr>
                    <wps:txbx>
                      <w:txbxContent>
                        <w:p w14:paraId="775C6161" w14:textId="77777777" w:rsidR="00D12779" w:rsidRDefault="00DA1A29" w:rsidP="00170A1F">
                          <w:pPr>
                            <w:pStyle w:val="HeaderTitle"/>
                          </w:pPr>
                          <w:r>
                            <w:t xml:space="preserve">Consultation </w:t>
                          </w:r>
                        </w:p>
                        <w:p w14:paraId="2E10C000" w14:textId="77777777" w:rsidR="00DA1A29" w:rsidRPr="00170A1F" w:rsidRDefault="00DA1A29" w:rsidP="00170A1F">
                          <w:pPr>
                            <w:pStyle w:val="HeaderTitle"/>
                          </w:pPr>
                          <w:r>
                            <w:t>Response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95DA3" id="_x0000_t202" coordsize="21600,21600" o:spt="202" path="m,l,21600r21600,l21600,xe">
              <v:stroke joinstyle="miter"/>
              <v:path gradientshapeok="t" o:connecttype="rect"/>
            </v:shapetype>
            <v:shape id="_x0000_s1027" type="#_x0000_t202" style="position:absolute;margin-left:56.35pt;margin-top:50.1pt;width:286.1pt;height:63.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O65EQIAACMEAAAOAAAAZHJzL2Uyb0RvYy54bWysU99v2jAQfp+0/8Hy+0gog6GIULFWTJOq&#13;&#10;thKd+mwcGyI5Pu9sSNhfv7NDoOr2NO3lcvGd78f3fV7cdo1hR4W+Blvy8SjnTFkJVW13Jf/xsv40&#13;&#10;58wHYSthwKqSn5Tnt8uPHxatK9QN7MFUChkVsb5oXcn3Ibgiy7zcq0b4EThlKagBGxHoF3dZhaKl&#13;&#10;6o3JbvJ8lrWAlUOQyns6ve+DfJnqa61keNLaq8BMyWm2kCwmu402Wy5EsUPh9rU8jyH+YYpG1Jaa&#13;&#10;XkrdiyDYAes/SjW1RPCgw0hCk4HWtVRpB9pmnL/bZrMXTqVdCBzvLjD5/1dWPh437hlZ6L5CRwRG&#13;&#10;QFrnC0+HcZ9OYxO/NCmjOEF4usCmusAkHU5mk8mXzzPOJMXm+XQ+nsYy2fW2Qx++KWhYdEqOREtC&#13;&#10;SxwffOhTh5TYzMK6NiZRYyxrSz6bTPN04RKh4sZSj+us0QvdtmN19WaPLVQnWg+hZ947ua5phgfh&#13;&#10;w7NAopo2IvmGJzLaAPWCs8fZHvDX385jPjFAUc5akk7J/c+DQMWZ+W6Jm6izwcHB2Q6OPTR3QGoc&#13;&#10;08NwMrl0AYMZXI3QvJKqV7ELhYSV1KvkYXDvQi9gehVSrVYpidTkRHiwGydj6YhiRPSlexXozrAH&#13;&#10;IuwRBlGJ4h36fW6P/+oQQNeJmohrj+IZblJiIvf8aqLU3/6nrOvbXv4GAAD//wMAUEsDBBQABgAI&#13;&#10;AAAAIQDN7koZ4gAAABABAAAPAAAAZHJzL2Rvd25yZXYueG1sTE9NT8MwDL0j8R8iI3FjSSu0ja7p&#13;&#10;hBjcgMEACW5pE9qKxKmStCv/HnOCi+UnP7+Pcjs7yyYTYu9RQrYQwAw2XvfYSnh9ubtYA4tJoVbW&#13;&#10;o5HwbSJsq9OTUhXaH/HZTIfUMhLBWCgJXUpDwXlsOuNUXPjBIN0+fXAqEQwt10EdSdxZngux5E71&#13;&#10;SA6dGsxNZ5qvw+gk2PcY7muRPqZd+5Ce9nx8u80epTw/m3cbGtcbYMnM6e8DfjtQfqgoWO1H1JFZ&#13;&#10;wlm+IiotQuTAiLFcX14BqyXk+SoDXpX8f5HqBwAA//8DAFBLAQItABQABgAIAAAAIQC2gziS/gAA&#13;&#10;AOEBAAATAAAAAAAAAAAAAAAAAAAAAABbQ29udGVudF9UeXBlc10ueG1sUEsBAi0AFAAGAAgAAAAh&#13;&#10;ADj9If/WAAAAlAEAAAsAAAAAAAAAAAAAAAAALwEAAF9yZWxzLy5yZWxzUEsBAi0AFAAGAAgAAAAh&#13;&#10;AB/A7rkRAgAAIwQAAA4AAAAAAAAAAAAAAAAALgIAAGRycy9lMm9Eb2MueG1sUEsBAi0AFAAGAAgA&#13;&#10;AAAhAM3uShniAAAAEAEAAA8AAAAAAAAAAAAAAAAAawQAAGRycy9kb3ducmV2LnhtbFBLBQYAAAAA&#13;&#10;BAAEAPMAAAB6BQAAAAA=&#13;&#10;" filled="f" stroked="f" strokeweight=".5pt">
              <v:textbox inset="0,0,0,0">
                <w:txbxContent>
                  <w:p w14:paraId="775C6161" w14:textId="77777777" w:rsidR="00D12779" w:rsidRDefault="00DA1A29" w:rsidP="00170A1F">
                    <w:pPr>
                      <w:pStyle w:val="HeaderTitle"/>
                    </w:pPr>
                    <w:r>
                      <w:t xml:space="preserve">Consultation </w:t>
                    </w:r>
                  </w:p>
                  <w:p w14:paraId="2E10C000" w14:textId="77777777" w:rsidR="00DA1A29" w:rsidRPr="00170A1F" w:rsidRDefault="00DA1A29" w:rsidP="00170A1F">
                    <w:pPr>
                      <w:pStyle w:val="HeaderTitle"/>
                    </w:pPr>
                    <w:r>
                      <w:t>Response</w:t>
                    </w:r>
                  </w:p>
                </w:txbxContent>
              </v:textbox>
              <w10:wrap anchorx="page" anchory="page"/>
            </v:shape>
          </w:pict>
        </mc:Fallback>
      </mc:AlternateContent>
    </w:r>
    <w:r w:rsidR="00D12779">
      <w:rPr>
        <w:noProof/>
      </w:rPr>
      <w:drawing>
        <wp:anchor distT="0" distB="0" distL="114300" distR="114300" simplePos="0" relativeHeight="251658245" behindDoc="0" locked="0" layoutInCell="1" allowOverlap="1" wp14:anchorId="5EFB6B09" wp14:editId="6E461F85">
          <wp:simplePos x="0" y="0"/>
          <wp:positionH relativeFrom="page">
            <wp:posOffset>5137785</wp:posOffset>
          </wp:positionH>
          <wp:positionV relativeFrom="page">
            <wp:posOffset>590550</wp:posOffset>
          </wp:positionV>
          <wp:extent cx="1692000" cy="734400"/>
          <wp:effectExtent l="0" t="0" r="0" b="2540"/>
          <wp:wrapNone/>
          <wp:docPr id="8669668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36907" name="Graphic 165373690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734400"/>
                  </a:xfrm>
                  <a:prstGeom prst="rect">
                    <a:avLst/>
                  </a:prstGeom>
                </pic:spPr>
              </pic:pic>
            </a:graphicData>
          </a:graphic>
          <wp14:sizeRelH relativeFrom="page">
            <wp14:pctWidth>0</wp14:pctWidth>
          </wp14:sizeRelH>
          <wp14:sizeRelV relativeFrom="page">
            <wp14:pctHeight>0</wp14:pctHeight>
          </wp14:sizeRelV>
        </wp:anchor>
      </w:drawing>
    </w:r>
  </w:p>
  <w:p w14:paraId="31A59AAD" w14:textId="77777777" w:rsidR="00A25318" w:rsidRDefault="00A25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6FFB"/>
    <w:multiLevelType w:val="multilevel"/>
    <w:tmpl w:val="9AA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240D4"/>
    <w:multiLevelType w:val="hybridMultilevel"/>
    <w:tmpl w:val="D820D40E"/>
    <w:lvl w:ilvl="0" w:tplc="AD5AF56C">
      <w:start w:val="1"/>
      <w:numFmt w:val="bullet"/>
      <w:pStyle w:val="BulletParagraph"/>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 w15:restartNumberingAfterBreak="0">
    <w:nsid w:val="4113349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C74601"/>
    <w:multiLevelType w:val="multilevel"/>
    <w:tmpl w:val="790E8180"/>
    <w:styleLink w:val="ETE"/>
    <w:lvl w:ilvl="0">
      <w:start w:val="1"/>
      <w:numFmt w:val="decimal"/>
      <w:lvlText w:val="%1."/>
      <w:lvlJc w:val="left"/>
      <w:pPr>
        <w:ind w:left="567" w:hanging="39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04438B"/>
    <w:multiLevelType w:val="multilevel"/>
    <w:tmpl w:val="52EECDBE"/>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FDF1EE1"/>
    <w:multiLevelType w:val="hybridMultilevel"/>
    <w:tmpl w:val="A71428E2"/>
    <w:lvl w:ilvl="0" w:tplc="F1C8252E">
      <w:start w:val="1"/>
      <w:numFmt w:val="bullet"/>
      <w:lvlText w:val="•"/>
      <w:lvlJc w:val="left"/>
      <w:pPr>
        <w:spacing w:before="20" w:after="20"/>
        <w:ind w:left="360" w:hanging="280"/>
      </w:pPr>
    </w:lvl>
    <w:lvl w:ilvl="1" w:tplc="9A48320C">
      <w:numFmt w:val="decimal"/>
      <w:lvlText w:val=""/>
      <w:lvlJc w:val="left"/>
    </w:lvl>
    <w:lvl w:ilvl="2" w:tplc="70503FF8">
      <w:numFmt w:val="decimal"/>
      <w:lvlText w:val=""/>
      <w:lvlJc w:val="left"/>
    </w:lvl>
    <w:lvl w:ilvl="3" w:tplc="56D221F0">
      <w:numFmt w:val="decimal"/>
      <w:lvlText w:val=""/>
      <w:lvlJc w:val="left"/>
    </w:lvl>
    <w:lvl w:ilvl="4" w:tplc="4D6CBC5A">
      <w:numFmt w:val="decimal"/>
      <w:lvlText w:val=""/>
      <w:lvlJc w:val="left"/>
    </w:lvl>
    <w:lvl w:ilvl="5" w:tplc="5A9EE5A2">
      <w:numFmt w:val="decimal"/>
      <w:lvlText w:val=""/>
      <w:lvlJc w:val="left"/>
    </w:lvl>
    <w:lvl w:ilvl="6" w:tplc="1C369E0C">
      <w:numFmt w:val="decimal"/>
      <w:lvlText w:val=""/>
      <w:lvlJc w:val="left"/>
    </w:lvl>
    <w:lvl w:ilvl="7" w:tplc="A7ACE5EC">
      <w:numFmt w:val="decimal"/>
      <w:lvlText w:val=""/>
      <w:lvlJc w:val="left"/>
    </w:lvl>
    <w:lvl w:ilvl="8" w:tplc="292277BA">
      <w:numFmt w:val="decimal"/>
      <w:lvlText w:val=""/>
      <w:lvlJc w:val="left"/>
    </w:lvl>
  </w:abstractNum>
  <w:num w:numId="1" w16cid:durableId="1354452184">
    <w:abstractNumId w:val="4"/>
  </w:num>
  <w:num w:numId="2" w16cid:durableId="2049790679">
    <w:abstractNumId w:val="3"/>
  </w:num>
  <w:num w:numId="3" w16cid:durableId="1335256385">
    <w:abstractNumId w:val="2"/>
  </w:num>
  <w:num w:numId="4" w16cid:durableId="2044479229">
    <w:abstractNumId w:val="1"/>
  </w:num>
  <w:num w:numId="5" w16cid:durableId="469438975">
    <w:abstractNumId w:val="5"/>
    <w:lvlOverride w:ilvl="0">
      <w:startOverride w:val="1"/>
    </w:lvlOverride>
  </w:num>
  <w:num w:numId="6" w16cid:durableId="72175147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89"/>
    <w:rsid w:val="000025B3"/>
    <w:rsid w:val="00004789"/>
    <w:rsid w:val="000072F8"/>
    <w:rsid w:val="00012057"/>
    <w:rsid w:val="0002288D"/>
    <w:rsid w:val="00026C92"/>
    <w:rsid w:val="000368EA"/>
    <w:rsid w:val="00036F08"/>
    <w:rsid w:val="00044114"/>
    <w:rsid w:val="00045E17"/>
    <w:rsid w:val="00050B4B"/>
    <w:rsid w:val="00052621"/>
    <w:rsid w:val="000548AC"/>
    <w:rsid w:val="000554F9"/>
    <w:rsid w:val="00063969"/>
    <w:rsid w:val="000707E6"/>
    <w:rsid w:val="00073D3B"/>
    <w:rsid w:val="00076F9C"/>
    <w:rsid w:val="000816AD"/>
    <w:rsid w:val="0008194A"/>
    <w:rsid w:val="0008271C"/>
    <w:rsid w:val="00093046"/>
    <w:rsid w:val="0009761B"/>
    <w:rsid w:val="000A72CF"/>
    <w:rsid w:val="000B16AF"/>
    <w:rsid w:val="000B1EB3"/>
    <w:rsid w:val="000B66AD"/>
    <w:rsid w:val="000C6A51"/>
    <w:rsid w:val="000D244C"/>
    <w:rsid w:val="000E2B28"/>
    <w:rsid w:val="000E3B23"/>
    <w:rsid w:val="000E64DF"/>
    <w:rsid w:val="000E6A19"/>
    <w:rsid w:val="000F49C1"/>
    <w:rsid w:val="000F4FD8"/>
    <w:rsid w:val="000F6EA9"/>
    <w:rsid w:val="000F7D9E"/>
    <w:rsid w:val="00117A0D"/>
    <w:rsid w:val="00120530"/>
    <w:rsid w:val="0012188A"/>
    <w:rsid w:val="001244CA"/>
    <w:rsid w:val="001262AB"/>
    <w:rsid w:val="001340A5"/>
    <w:rsid w:val="0014441A"/>
    <w:rsid w:val="00154455"/>
    <w:rsid w:val="00157C24"/>
    <w:rsid w:val="00160813"/>
    <w:rsid w:val="00170A1F"/>
    <w:rsid w:val="00171FD1"/>
    <w:rsid w:val="0017529C"/>
    <w:rsid w:val="00175622"/>
    <w:rsid w:val="0018313B"/>
    <w:rsid w:val="001859E1"/>
    <w:rsid w:val="00190A1B"/>
    <w:rsid w:val="0019342F"/>
    <w:rsid w:val="00193D99"/>
    <w:rsid w:val="0019547E"/>
    <w:rsid w:val="001979B3"/>
    <w:rsid w:val="001A62BF"/>
    <w:rsid w:val="001B171B"/>
    <w:rsid w:val="001B28A1"/>
    <w:rsid w:val="001B40AC"/>
    <w:rsid w:val="001C0A46"/>
    <w:rsid w:val="001D6963"/>
    <w:rsid w:val="001D7A92"/>
    <w:rsid w:val="001D7C88"/>
    <w:rsid w:val="001E4395"/>
    <w:rsid w:val="001E6786"/>
    <w:rsid w:val="001F0C9D"/>
    <w:rsid w:val="001F20ED"/>
    <w:rsid w:val="001F7550"/>
    <w:rsid w:val="00201F27"/>
    <w:rsid w:val="00202F99"/>
    <w:rsid w:val="00203F94"/>
    <w:rsid w:val="00204063"/>
    <w:rsid w:val="002043F0"/>
    <w:rsid w:val="00204F4D"/>
    <w:rsid w:val="00205E56"/>
    <w:rsid w:val="00215730"/>
    <w:rsid w:val="00215ED6"/>
    <w:rsid w:val="00223CAE"/>
    <w:rsid w:val="0022653E"/>
    <w:rsid w:val="00227320"/>
    <w:rsid w:val="00232398"/>
    <w:rsid w:val="00234107"/>
    <w:rsid w:val="00240349"/>
    <w:rsid w:val="00241324"/>
    <w:rsid w:val="00244F69"/>
    <w:rsid w:val="00260078"/>
    <w:rsid w:val="002638A9"/>
    <w:rsid w:val="002656A5"/>
    <w:rsid w:val="00266C56"/>
    <w:rsid w:val="00266FD9"/>
    <w:rsid w:val="002750B6"/>
    <w:rsid w:val="00275BF4"/>
    <w:rsid w:val="00276088"/>
    <w:rsid w:val="0028236D"/>
    <w:rsid w:val="0028601C"/>
    <w:rsid w:val="002869EE"/>
    <w:rsid w:val="00290A2E"/>
    <w:rsid w:val="00292E99"/>
    <w:rsid w:val="002940F9"/>
    <w:rsid w:val="002A0D78"/>
    <w:rsid w:val="002A2C11"/>
    <w:rsid w:val="002A3D89"/>
    <w:rsid w:val="002A6B4E"/>
    <w:rsid w:val="002A749C"/>
    <w:rsid w:val="002B1E4E"/>
    <w:rsid w:val="002B22F3"/>
    <w:rsid w:val="002B4B2D"/>
    <w:rsid w:val="002B68E4"/>
    <w:rsid w:val="002B6F3D"/>
    <w:rsid w:val="002C4281"/>
    <w:rsid w:val="002C486B"/>
    <w:rsid w:val="002D0C24"/>
    <w:rsid w:val="002D24EF"/>
    <w:rsid w:val="002D2AEC"/>
    <w:rsid w:val="002D2C68"/>
    <w:rsid w:val="002E68FA"/>
    <w:rsid w:val="002F136E"/>
    <w:rsid w:val="002F20D5"/>
    <w:rsid w:val="003039C5"/>
    <w:rsid w:val="003059F4"/>
    <w:rsid w:val="00307DB8"/>
    <w:rsid w:val="003221E2"/>
    <w:rsid w:val="003227D4"/>
    <w:rsid w:val="00323ADE"/>
    <w:rsid w:val="00324403"/>
    <w:rsid w:val="00324B9F"/>
    <w:rsid w:val="0032504E"/>
    <w:rsid w:val="00326F74"/>
    <w:rsid w:val="00333E6B"/>
    <w:rsid w:val="00336AB8"/>
    <w:rsid w:val="003402B2"/>
    <w:rsid w:val="00341224"/>
    <w:rsid w:val="00342B85"/>
    <w:rsid w:val="00345EEC"/>
    <w:rsid w:val="00347070"/>
    <w:rsid w:val="00352DFC"/>
    <w:rsid w:val="00355860"/>
    <w:rsid w:val="0035653F"/>
    <w:rsid w:val="00357BCD"/>
    <w:rsid w:val="00360C28"/>
    <w:rsid w:val="0036206E"/>
    <w:rsid w:val="003669D2"/>
    <w:rsid w:val="00367904"/>
    <w:rsid w:val="0037020A"/>
    <w:rsid w:val="0037171A"/>
    <w:rsid w:val="00376536"/>
    <w:rsid w:val="00377C1F"/>
    <w:rsid w:val="003806BA"/>
    <w:rsid w:val="00380718"/>
    <w:rsid w:val="003827FE"/>
    <w:rsid w:val="00384F65"/>
    <w:rsid w:val="00385AE7"/>
    <w:rsid w:val="003A0844"/>
    <w:rsid w:val="003A36D6"/>
    <w:rsid w:val="003A685B"/>
    <w:rsid w:val="003B1FA5"/>
    <w:rsid w:val="003B250A"/>
    <w:rsid w:val="003B5BEC"/>
    <w:rsid w:val="003B6880"/>
    <w:rsid w:val="003C0187"/>
    <w:rsid w:val="003D2CF8"/>
    <w:rsid w:val="003D3595"/>
    <w:rsid w:val="003D57B3"/>
    <w:rsid w:val="003D5B20"/>
    <w:rsid w:val="003D6953"/>
    <w:rsid w:val="003E0733"/>
    <w:rsid w:val="003E234B"/>
    <w:rsid w:val="003E2C59"/>
    <w:rsid w:val="003E6C4C"/>
    <w:rsid w:val="003F3615"/>
    <w:rsid w:val="00403661"/>
    <w:rsid w:val="00404D1B"/>
    <w:rsid w:val="00406343"/>
    <w:rsid w:val="004122BB"/>
    <w:rsid w:val="00414213"/>
    <w:rsid w:val="00414B94"/>
    <w:rsid w:val="00414EBE"/>
    <w:rsid w:val="00416AA7"/>
    <w:rsid w:val="00417F99"/>
    <w:rsid w:val="00423DAF"/>
    <w:rsid w:val="004246D5"/>
    <w:rsid w:val="00424EE8"/>
    <w:rsid w:val="00427974"/>
    <w:rsid w:val="00431E2D"/>
    <w:rsid w:val="00433DB0"/>
    <w:rsid w:val="00435093"/>
    <w:rsid w:val="00435105"/>
    <w:rsid w:val="00442302"/>
    <w:rsid w:val="0044410E"/>
    <w:rsid w:val="00445F9A"/>
    <w:rsid w:val="00451B0D"/>
    <w:rsid w:val="00452EDF"/>
    <w:rsid w:val="004538D9"/>
    <w:rsid w:val="0045552E"/>
    <w:rsid w:val="004564A7"/>
    <w:rsid w:val="004578DB"/>
    <w:rsid w:val="004621EA"/>
    <w:rsid w:val="0046357C"/>
    <w:rsid w:val="0047035C"/>
    <w:rsid w:val="00470E2A"/>
    <w:rsid w:val="00474D09"/>
    <w:rsid w:val="00477AC9"/>
    <w:rsid w:val="0048127D"/>
    <w:rsid w:val="00482845"/>
    <w:rsid w:val="00482AEF"/>
    <w:rsid w:val="00483190"/>
    <w:rsid w:val="00485BE5"/>
    <w:rsid w:val="00485E64"/>
    <w:rsid w:val="00491D96"/>
    <w:rsid w:val="004933CE"/>
    <w:rsid w:val="00497146"/>
    <w:rsid w:val="004A2006"/>
    <w:rsid w:val="004B19AA"/>
    <w:rsid w:val="004C2C13"/>
    <w:rsid w:val="004C5319"/>
    <w:rsid w:val="004C56C2"/>
    <w:rsid w:val="004D29EA"/>
    <w:rsid w:val="004E1562"/>
    <w:rsid w:val="004E38EE"/>
    <w:rsid w:val="004E6A12"/>
    <w:rsid w:val="004E6B94"/>
    <w:rsid w:val="004F7751"/>
    <w:rsid w:val="005044F5"/>
    <w:rsid w:val="0050600C"/>
    <w:rsid w:val="00513550"/>
    <w:rsid w:val="00513820"/>
    <w:rsid w:val="00514CCA"/>
    <w:rsid w:val="00514E0D"/>
    <w:rsid w:val="005165EE"/>
    <w:rsid w:val="00516715"/>
    <w:rsid w:val="00520432"/>
    <w:rsid w:val="0052223F"/>
    <w:rsid w:val="005223B8"/>
    <w:rsid w:val="00522CE0"/>
    <w:rsid w:val="005231E2"/>
    <w:rsid w:val="00526488"/>
    <w:rsid w:val="00526B58"/>
    <w:rsid w:val="00531127"/>
    <w:rsid w:val="00533382"/>
    <w:rsid w:val="00534081"/>
    <w:rsid w:val="0053567B"/>
    <w:rsid w:val="00537B38"/>
    <w:rsid w:val="00540045"/>
    <w:rsid w:val="005424A0"/>
    <w:rsid w:val="00542E4A"/>
    <w:rsid w:val="0054405B"/>
    <w:rsid w:val="00545AC5"/>
    <w:rsid w:val="00546C1B"/>
    <w:rsid w:val="005550AE"/>
    <w:rsid w:val="0055649E"/>
    <w:rsid w:val="00560D57"/>
    <w:rsid w:val="00561BBC"/>
    <w:rsid w:val="00580BA3"/>
    <w:rsid w:val="00584E52"/>
    <w:rsid w:val="00592256"/>
    <w:rsid w:val="00592F40"/>
    <w:rsid w:val="005935CF"/>
    <w:rsid w:val="00593B82"/>
    <w:rsid w:val="0059498C"/>
    <w:rsid w:val="005A232E"/>
    <w:rsid w:val="005A4623"/>
    <w:rsid w:val="005A72B5"/>
    <w:rsid w:val="005A76C8"/>
    <w:rsid w:val="005B4AB4"/>
    <w:rsid w:val="005B4FDE"/>
    <w:rsid w:val="005B5C89"/>
    <w:rsid w:val="005C0656"/>
    <w:rsid w:val="005C0A1E"/>
    <w:rsid w:val="005C2CA7"/>
    <w:rsid w:val="005C36A2"/>
    <w:rsid w:val="005C6084"/>
    <w:rsid w:val="005D00AB"/>
    <w:rsid w:val="005D2934"/>
    <w:rsid w:val="005D57D1"/>
    <w:rsid w:val="005D6444"/>
    <w:rsid w:val="005E3377"/>
    <w:rsid w:val="005F0D31"/>
    <w:rsid w:val="005F50A4"/>
    <w:rsid w:val="005F745A"/>
    <w:rsid w:val="00602BD8"/>
    <w:rsid w:val="006046A0"/>
    <w:rsid w:val="00604993"/>
    <w:rsid w:val="00607863"/>
    <w:rsid w:val="006115EA"/>
    <w:rsid w:val="00616748"/>
    <w:rsid w:val="006249A2"/>
    <w:rsid w:val="00627AEA"/>
    <w:rsid w:val="006308AC"/>
    <w:rsid w:val="00633493"/>
    <w:rsid w:val="006361C8"/>
    <w:rsid w:val="0064536D"/>
    <w:rsid w:val="00645FF3"/>
    <w:rsid w:val="00647E4C"/>
    <w:rsid w:val="00667E04"/>
    <w:rsid w:val="006737B0"/>
    <w:rsid w:val="006755A7"/>
    <w:rsid w:val="00677B31"/>
    <w:rsid w:val="006800A7"/>
    <w:rsid w:val="006803D0"/>
    <w:rsid w:val="00686949"/>
    <w:rsid w:val="00690CAB"/>
    <w:rsid w:val="00690F06"/>
    <w:rsid w:val="00692943"/>
    <w:rsid w:val="006A3E3F"/>
    <w:rsid w:val="006A4DB0"/>
    <w:rsid w:val="006A6136"/>
    <w:rsid w:val="006A6198"/>
    <w:rsid w:val="006B171C"/>
    <w:rsid w:val="006B3488"/>
    <w:rsid w:val="006B38EF"/>
    <w:rsid w:val="006B4996"/>
    <w:rsid w:val="006B7AD6"/>
    <w:rsid w:val="006B7B25"/>
    <w:rsid w:val="006D2628"/>
    <w:rsid w:val="006D4BC8"/>
    <w:rsid w:val="006E0654"/>
    <w:rsid w:val="006E15EB"/>
    <w:rsid w:val="006E73D2"/>
    <w:rsid w:val="006F0538"/>
    <w:rsid w:val="006F0F69"/>
    <w:rsid w:val="006F2CA7"/>
    <w:rsid w:val="006F46FB"/>
    <w:rsid w:val="006F685A"/>
    <w:rsid w:val="0070400F"/>
    <w:rsid w:val="00707BE0"/>
    <w:rsid w:val="00713534"/>
    <w:rsid w:val="00714C5D"/>
    <w:rsid w:val="00714F85"/>
    <w:rsid w:val="00716706"/>
    <w:rsid w:val="00724D1B"/>
    <w:rsid w:val="007459BC"/>
    <w:rsid w:val="00751B30"/>
    <w:rsid w:val="007524C4"/>
    <w:rsid w:val="00753813"/>
    <w:rsid w:val="00760EC7"/>
    <w:rsid w:val="00762AF9"/>
    <w:rsid w:val="00763679"/>
    <w:rsid w:val="0076558B"/>
    <w:rsid w:val="0077012A"/>
    <w:rsid w:val="00777292"/>
    <w:rsid w:val="00785765"/>
    <w:rsid w:val="00792E48"/>
    <w:rsid w:val="00793D3A"/>
    <w:rsid w:val="007A2C51"/>
    <w:rsid w:val="007A525D"/>
    <w:rsid w:val="007B500E"/>
    <w:rsid w:val="007B5EB5"/>
    <w:rsid w:val="007B7D38"/>
    <w:rsid w:val="007C032E"/>
    <w:rsid w:val="007C0854"/>
    <w:rsid w:val="007C4DAB"/>
    <w:rsid w:val="007C7675"/>
    <w:rsid w:val="007D2881"/>
    <w:rsid w:val="007E3AC2"/>
    <w:rsid w:val="007E6979"/>
    <w:rsid w:val="007E713D"/>
    <w:rsid w:val="007F113A"/>
    <w:rsid w:val="007F2A5E"/>
    <w:rsid w:val="007F7674"/>
    <w:rsid w:val="008009CC"/>
    <w:rsid w:val="0080109C"/>
    <w:rsid w:val="00801709"/>
    <w:rsid w:val="00801ED1"/>
    <w:rsid w:val="00803CEE"/>
    <w:rsid w:val="008110B2"/>
    <w:rsid w:val="008175A5"/>
    <w:rsid w:val="00821C11"/>
    <w:rsid w:val="008245B0"/>
    <w:rsid w:val="0083451A"/>
    <w:rsid w:val="00834F32"/>
    <w:rsid w:val="00837D3C"/>
    <w:rsid w:val="00841521"/>
    <w:rsid w:val="008452D1"/>
    <w:rsid w:val="008459BD"/>
    <w:rsid w:val="00847078"/>
    <w:rsid w:val="0084735F"/>
    <w:rsid w:val="0085181D"/>
    <w:rsid w:val="00852B48"/>
    <w:rsid w:val="008614AF"/>
    <w:rsid w:val="008622DC"/>
    <w:rsid w:val="00866D62"/>
    <w:rsid w:val="00867F49"/>
    <w:rsid w:val="00870E88"/>
    <w:rsid w:val="0088074F"/>
    <w:rsid w:val="0088136A"/>
    <w:rsid w:val="00892A62"/>
    <w:rsid w:val="0089328B"/>
    <w:rsid w:val="00895801"/>
    <w:rsid w:val="00896867"/>
    <w:rsid w:val="008A409C"/>
    <w:rsid w:val="008B4A4E"/>
    <w:rsid w:val="008C001C"/>
    <w:rsid w:val="008C001E"/>
    <w:rsid w:val="008C0CAE"/>
    <w:rsid w:val="008C0FF4"/>
    <w:rsid w:val="008C2D34"/>
    <w:rsid w:val="008C3573"/>
    <w:rsid w:val="008C38A6"/>
    <w:rsid w:val="008C4056"/>
    <w:rsid w:val="008C626C"/>
    <w:rsid w:val="008C6649"/>
    <w:rsid w:val="008D05F3"/>
    <w:rsid w:val="008D45E0"/>
    <w:rsid w:val="008D7FF5"/>
    <w:rsid w:val="008E166F"/>
    <w:rsid w:val="008E2579"/>
    <w:rsid w:val="008E3242"/>
    <w:rsid w:val="008F2D80"/>
    <w:rsid w:val="008F3A98"/>
    <w:rsid w:val="008F3C1D"/>
    <w:rsid w:val="008F4186"/>
    <w:rsid w:val="00903CE9"/>
    <w:rsid w:val="009059AD"/>
    <w:rsid w:val="0090741E"/>
    <w:rsid w:val="0090791E"/>
    <w:rsid w:val="009106E9"/>
    <w:rsid w:val="00911488"/>
    <w:rsid w:val="009127A8"/>
    <w:rsid w:val="00916B40"/>
    <w:rsid w:val="0091742A"/>
    <w:rsid w:val="009178F7"/>
    <w:rsid w:val="009244D9"/>
    <w:rsid w:val="00930A9C"/>
    <w:rsid w:val="00931203"/>
    <w:rsid w:val="0093325F"/>
    <w:rsid w:val="009342AA"/>
    <w:rsid w:val="00936657"/>
    <w:rsid w:val="00937180"/>
    <w:rsid w:val="009413A1"/>
    <w:rsid w:val="009458C0"/>
    <w:rsid w:val="009471FD"/>
    <w:rsid w:val="00950B2F"/>
    <w:rsid w:val="009512A3"/>
    <w:rsid w:val="00955BC0"/>
    <w:rsid w:val="00960F0D"/>
    <w:rsid w:val="00962315"/>
    <w:rsid w:val="00962784"/>
    <w:rsid w:val="00964F25"/>
    <w:rsid w:val="009668B2"/>
    <w:rsid w:val="00974F41"/>
    <w:rsid w:val="009837B5"/>
    <w:rsid w:val="009859FD"/>
    <w:rsid w:val="00993BCF"/>
    <w:rsid w:val="009A0CDE"/>
    <w:rsid w:val="009A33F1"/>
    <w:rsid w:val="009A4213"/>
    <w:rsid w:val="009A4AEA"/>
    <w:rsid w:val="009A5175"/>
    <w:rsid w:val="009B46E6"/>
    <w:rsid w:val="009B645D"/>
    <w:rsid w:val="009B77F3"/>
    <w:rsid w:val="009C3350"/>
    <w:rsid w:val="009C548F"/>
    <w:rsid w:val="009C6FFD"/>
    <w:rsid w:val="009D6C4F"/>
    <w:rsid w:val="009E1A22"/>
    <w:rsid w:val="009E2758"/>
    <w:rsid w:val="009E37EF"/>
    <w:rsid w:val="009E5944"/>
    <w:rsid w:val="00A04053"/>
    <w:rsid w:val="00A04F98"/>
    <w:rsid w:val="00A05D13"/>
    <w:rsid w:val="00A10C0F"/>
    <w:rsid w:val="00A136CA"/>
    <w:rsid w:val="00A13E9E"/>
    <w:rsid w:val="00A1495F"/>
    <w:rsid w:val="00A15E5E"/>
    <w:rsid w:val="00A25318"/>
    <w:rsid w:val="00A3764A"/>
    <w:rsid w:val="00A37689"/>
    <w:rsid w:val="00A37FC7"/>
    <w:rsid w:val="00A40173"/>
    <w:rsid w:val="00A411F9"/>
    <w:rsid w:val="00A4301F"/>
    <w:rsid w:val="00A45376"/>
    <w:rsid w:val="00A4723C"/>
    <w:rsid w:val="00A50C0A"/>
    <w:rsid w:val="00A52057"/>
    <w:rsid w:val="00A528F2"/>
    <w:rsid w:val="00A55968"/>
    <w:rsid w:val="00A60BAC"/>
    <w:rsid w:val="00A6207E"/>
    <w:rsid w:val="00A640B0"/>
    <w:rsid w:val="00A70A82"/>
    <w:rsid w:val="00A737C5"/>
    <w:rsid w:val="00A73D1A"/>
    <w:rsid w:val="00A76F24"/>
    <w:rsid w:val="00A827A0"/>
    <w:rsid w:val="00A85D86"/>
    <w:rsid w:val="00A87304"/>
    <w:rsid w:val="00A909DC"/>
    <w:rsid w:val="00A92F86"/>
    <w:rsid w:val="00A9396B"/>
    <w:rsid w:val="00A959B9"/>
    <w:rsid w:val="00AA15A1"/>
    <w:rsid w:val="00AA415C"/>
    <w:rsid w:val="00AA4FB0"/>
    <w:rsid w:val="00AA59A4"/>
    <w:rsid w:val="00AA6F96"/>
    <w:rsid w:val="00AB16BE"/>
    <w:rsid w:val="00AB1FB5"/>
    <w:rsid w:val="00AB78A4"/>
    <w:rsid w:val="00AB7EC1"/>
    <w:rsid w:val="00AC3A5C"/>
    <w:rsid w:val="00AC6898"/>
    <w:rsid w:val="00AC74D2"/>
    <w:rsid w:val="00AD0C39"/>
    <w:rsid w:val="00AD2914"/>
    <w:rsid w:val="00AD6063"/>
    <w:rsid w:val="00AE2827"/>
    <w:rsid w:val="00AE3C8B"/>
    <w:rsid w:val="00AF577C"/>
    <w:rsid w:val="00AF60A6"/>
    <w:rsid w:val="00AF70BC"/>
    <w:rsid w:val="00B07DFF"/>
    <w:rsid w:val="00B100B7"/>
    <w:rsid w:val="00B11D96"/>
    <w:rsid w:val="00B140AC"/>
    <w:rsid w:val="00B17AE2"/>
    <w:rsid w:val="00B20FAA"/>
    <w:rsid w:val="00B22CE7"/>
    <w:rsid w:val="00B23A21"/>
    <w:rsid w:val="00B244ED"/>
    <w:rsid w:val="00B3454C"/>
    <w:rsid w:val="00B35E0C"/>
    <w:rsid w:val="00B40B24"/>
    <w:rsid w:val="00B4120E"/>
    <w:rsid w:val="00B4427C"/>
    <w:rsid w:val="00B51DE5"/>
    <w:rsid w:val="00B52D01"/>
    <w:rsid w:val="00B5392D"/>
    <w:rsid w:val="00B54789"/>
    <w:rsid w:val="00B5649D"/>
    <w:rsid w:val="00B63543"/>
    <w:rsid w:val="00B6354D"/>
    <w:rsid w:val="00B64679"/>
    <w:rsid w:val="00B65CFC"/>
    <w:rsid w:val="00B662FF"/>
    <w:rsid w:val="00B663F1"/>
    <w:rsid w:val="00B762D8"/>
    <w:rsid w:val="00B83F6E"/>
    <w:rsid w:val="00B86178"/>
    <w:rsid w:val="00B91EDA"/>
    <w:rsid w:val="00B94AF3"/>
    <w:rsid w:val="00B95008"/>
    <w:rsid w:val="00B954E6"/>
    <w:rsid w:val="00B9571F"/>
    <w:rsid w:val="00B96C40"/>
    <w:rsid w:val="00BA46F8"/>
    <w:rsid w:val="00BC0057"/>
    <w:rsid w:val="00BC122B"/>
    <w:rsid w:val="00BC38B5"/>
    <w:rsid w:val="00BC594A"/>
    <w:rsid w:val="00BD5BED"/>
    <w:rsid w:val="00BD5D18"/>
    <w:rsid w:val="00BE1ECB"/>
    <w:rsid w:val="00BE3A3E"/>
    <w:rsid w:val="00BF0865"/>
    <w:rsid w:val="00BF14C0"/>
    <w:rsid w:val="00BF3141"/>
    <w:rsid w:val="00BF7090"/>
    <w:rsid w:val="00C01684"/>
    <w:rsid w:val="00C03C93"/>
    <w:rsid w:val="00C06D27"/>
    <w:rsid w:val="00C0754C"/>
    <w:rsid w:val="00C102A0"/>
    <w:rsid w:val="00C16233"/>
    <w:rsid w:val="00C16839"/>
    <w:rsid w:val="00C172B5"/>
    <w:rsid w:val="00C17B6F"/>
    <w:rsid w:val="00C32A02"/>
    <w:rsid w:val="00C33468"/>
    <w:rsid w:val="00C35432"/>
    <w:rsid w:val="00C35FCD"/>
    <w:rsid w:val="00C40742"/>
    <w:rsid w:val="00C41843"/>
    <w:rsid w:val="00C452C9"/>
    <w:rsid w:val="00C45502"/>
    <w:rsid w:val="00C45963"/>
    <w:rsid w:val="00C53481"/>
    <w:rsid w:val="00C637C4"/>
    <w:rsid w:val="00C65FA6"/>
    <w:rsid w:val="00C7184E"/>
    <w:rsid w:val="00C72679"/>
    <w:rsid w:val="00C7458A"/>
    <w:rsid w:val="00C90848"/>
    <w:rsid w:val="00C91F07"/>
    <w:rsid w:val="00C92266"/>
    <w:rsid w:val="00C92508"/>
    <w:rsid w:val="00C92EF8"/>
    <w:rsid w:val="00CA3F9D"/>
    <w:rsid w:val="00CA4A5B"/>
    <w:rsid w:val="00CA4AD7"/>
    <w:rsid w:val="00CA5FB0"/>
    <w:rsid w:val="00CB0A23"/>
    <w:rsid w:val="00CB0C48"/>
    <w:rsid w:val="00CB2ACC"/>
    <w:rsid w:val="00CB601D"/>
    <w:rsid w:val="00CB796C"/>
    <w:rsid w:val="00CC0897"/>
    <w:rsid w:val="00CC1D5D"/>
    <w:rsid w:val="00CC1E3F"/>
    <w:rsid w:val="00CC37DE"/>
    <w:rsid w:val="00CC5914"/>
    <w:rsid w:val="00CD1993"/>
    <w:rsid w:val="00CD4423"/>
    <w:rsid w:val="00CD4845"/>
    <w:rsid w:val="00CD5263"/>
    <w:rsid w:val="00CD7966"/>
    <w:rsid w:val="00CE2989"/>
    <w:rsid w:val="00CE3EB1"/>
    <w:rsid w:val="00CF61AD"/>
    <w:rsid w:val="00CF76C3"/>
    <w:rsid w:val="00CF79F6"/>
    <w:rsid w:val="00CF7AB7"/>
    <w:rsid w:val="00D12779"/>
    <w:rsid w:val="00D27D5E"/>
    <w:rsid w:val="00D31400"/>
    <w:rsid w:val="00D433D5"/>
    <w:rsid w:val="00D5201E"/>
    <w:rsid w:val="00D6186F"/>
    <w:rsid w:val="00D651AD"/>
    <w:rsid w:val="00D66002"/>
    <w:rsid w:val="00D72319"/>
    <w:rsid w:val="00D72A3D"/>
    <w:rsid w:val="00D72FCA"/>
    <w:rsid w:val="00D73A1E"/>
    <w:rsid w:val="00D77A6F"/>
    <w:rsid w:val="00D819CC"/>
    <w:rsid w:val="00D84FE7"/>
    <w:rsid w:val="00D85F91"/>
    <w:rsid w:val="00D86419"/>
    <w:rsid w:val="00D864DD"/>
    <w:rsid w:val="00D87F6B"/>
    <w:rsid w:val="00D90DFB"/>
    <w:rsid w:val="00D956E4"/>
    <w:rsid w:val="00D95A7A"/>
    <w:rsid w:val="00DA1A29"/>
    <w:rsid w:val="00DA313A"/>
    <w:rsid w:val="00DA4309"/>
    <w:rsid w:val="00DA4451"/>
    <w:rsid w:val="00DA4D69"/>
    <w:rsid w:val="00DA5415"/>
    <w:rsid w:val="00DB2B0E"/>
    <w:rsid w:val="00DB4A04"/>
    <w:rsid w:val="00DB5274"/>
    <w:rsid w:val="00DB69BA"/>
    <w:rsid w:val="00DB76BC"/>
    <w:rsid w:val="00DC0536"/>
    <w:rsid w:val="00DC0547"/>
    <w:rsid w:val="00DC20DF"/>
    <w:rsid w:val="00DC5860"/>
    <w:rsid w:val="00DD18F2"/>
    <w:rsid w:val="00DD4BE4"/>
    <w:rsid w:val="00DD4CDE"/>
    <w:rsid w:val="00DE6FC1"/>
    <w:rsid w:val="00DF0B03"/>
    <w:rsid w:val="00DF1D3E"/>
    <w:rsid w:val="00E03787"/>
    <w:rsid w:val="00E04B33"/>
    <w:rsid w:val="00E1093D"/>
    <w:rsid w:val="00E12163"/>
    <w:rsid w:val="00E14D6B"/>
    <w:rsid w:val="00E15D2F"/>
    <w:rsid w:val="00E17709"/>
    <w:rsid w:val="00E21403"/>
    <w:rsid w:val="00E2450E"/>
    <w:rsid w:val="00E27C1B"/>
    <w:rsid w:val="00E27F96"/>
    <w:rsid w:val="00E3065C"/>
    <w:rsid w:val="00E42347"/>
    <w:rsid w:val="00E42430"/>
    <w:rsid w:val="00E4256F"/>
    <w:rsid w:val="00E44F3F"/>
    <w:rsid w:val="00E46CE2"/>
    <w:rsid w:val="00E47387"/>
    <w:rsid w:val="00E47AD2"/>
    <w:rsid w:val="00E50BAE"/>
    <w:rsid w:val="00E522EE"/>
    <w:rsid w:val="00E5597E"/>
    <w:rsid w:val="00E61CFC"/>
    <w:rsid w:val="00E62F97"/>
    <w:rsid w:val="00E6455F"/>
    <w:rsid w:val="00E64F8A"/>
    <w:rsid w:val="00E74CE6"/>
    <w:rsid w:val="00E758E9"/>
    <w:rsid w:val="00E75A22"/>
    <w:rsid w:val="00E75F7E"/>
    <w:rsid w:val="00E776CD"/>
    <w:rsid w:val="00E77939"/>
    <w:rsid w:val="00E83438"/>
    <w:rsid w:val="00E86091"/>
    <w:rsid w:val="00E90FAA"/>
    <w:rsid w:val="00EA0522"/>
    <w:rsid w:val="00EA1A1A"/>
    <w:rsid w:val="00EA3931"/>
    <w:rsid w:val="00EA394E"/>
    <w:rsid w:val="00EB0745"/>
    <w:rsid w:val="00EB111B"/>
    <w:rsid w:val="00EB1B1C"/>
    <w:rsid w:val="00EB1C4C"/>
    <w:rsid w:val="00EB3BD6"/>
    <w:rsid w:val="00EC2BB9"/>
    <w:rsid w:val="00EC5000"/>
    <w:rsid w:val="00ED6395"/>
    <w:rsid w:val="00EE103D"/>
    <w:rsid w:val="00EE1A00"/>
    <w:rsid w:val="00EF0301"/>
    <w:rsid w:val="00EF3C13"/>
    <w:rsid w:val="00EF4B42"/>
    <w:rsid w:val="00EF5993"/>
    <w:rsid w:val="00EF7419"/>
    <w:rsid w:val="00F030E4"/>
    <w:rsid w:val="00F05881"/>
    <w:rsid w:val="00F06BC2"/>
    <w:rsid w:val="00F1188C"/>
    <w:rsid w:val="00F127D1"/>
    <w:rsid w:val="00F247AA"/>
    <w:rsid w:val="00F261E4"/>
    <w:rsid w:val="00F3076A"/>
    <w:rsid w:val="00F30A20"/>
    <w:rsid w:val="00F4107F"/>
    <w:rsid w:val="00F42201"/>
    <w:rsid w:val="00F44536"/>
    <w:rsid w:val="00F452E6"/>
    <w:rsid w:val="00F46312"/>
    <w:rsid w:val="00F46A37"/>
    <w:rsid w:val="00F47D5E"/>
    <w:rsid w:val="00F50165"/>
    <w:rsid w:val="00F5705C"/>
    <w:rsid w:val="00F57498"/>
    <w:rsid w:val="00F60051"/>
    <w:rsid w:val="00F73BCD"/>
    <w:rsid w:val="00F74B06"/>
    <w:rsid w:val="00F7615C"/>
    <w:rsid w:val="00F834ED"/>
    <w:rsid w:val="00F83EA0"/>
    <w:rsid w:val="00F8404F"/>
    <w:rsid w:val="00F84590"/>
    <w:rsid w:val="00F84BCE"/>
    <w:rsid w:val="00F87119"/>
    <w:rsid w:val="00F933E4"/>
    <w:rsid w:val="00F93C2C"/>
    <w:rsid w:val="00F955BE"/>
    <w:rsid w:val="00F964A0"/>
    <w:rsid w:val="00FA34EF"/>
    <w:rsid w:val="00FA5109"/>
    <w:rsid w:val="00FB17F0"/>
    <w:rsid w:val="00FB6AEC"/>
    <w:rsid w:val="00FC157C"/>
    <w:rsid w:val="00FC2C47"/>
    <w:rsid w:val="00FC5AEA"/>
    <w:rsid w:val="00FC62B3"/>
    <w:rsid w:val="00FD1E32"/>
    <w:rsid w:val="00FD2DA7"/>
    <w:rsid w:val="00FD3ECC"/>
    <w:rsid w:val="00FD426B"/>
    <w:rsid w:val="00FE0E79"/>
    <w:rsid w:val="00FF0FC1"/>
    <w:rsid w:val="00FF392C"/>
    <w:rsid w:val="00FF669B"/>
    <w:rsid w:val="00FF69C3"/>
    <w:rsid w:val="0135C201"/>
    <w:rsid w:val="05B43EF6"/>
    <w:rsid w:val="08D4FFFB"/>
    <w:rsid w:val="0BC8B541"/>
    <w:rsid w:val="0C115304"/>
    <w:rsid w:val="0CD056D3"/>
    <w:rsid w:val="14CA5441"/>
    <w:rsid w:val="19FF11FA"/>
    <w:rsid w:val="1A04A1EA"/>
    <w:rsid w:val="1B9A89DB"/>
    <w:rsid w:val="1BC659D3"/>
    <w:rsid w:val="1F1F190B"/>
    <w:rsid w:val="225CEB62"/>
    <w:rsid w:val="24A8A73C"/>
    <w:rsid w:val="24ADA1A6"/>
    <w:rsid w:val="2BF32AA8"/>
    <w:rsid w:val="2BFC8A41"/>
    <w:rsid w:val="2C883876"/>
    <w:rsid w:val="2E55A61F"/>
    <w:rsid w:val="37F598C7"/>
    <w:rsid w:val="3AE4D318"/>
    <w:rsid w:val="3D4BBF6A"/>
    <w:rsid w:val="3F2EAC52"/>
    <w:rsid w:val="4275ED32"/>
    <w:rsid w:val="43410AEF"/>
    <w:rsid w:val="466F04DB"/>
    <w:rsid w:val="4980B701"/>
    <w:rsid w:val="4C137203"/>
    <w:rsid w:val="4DACAB1E"/>
    <w:rsid w:val="516DEEA9"/>
    <w:rsid w:val="5321B422"/>
    <w:rsid w:val="59C48EAB"/>
    <w:rsid w:val="5A118A4C"/>
    <w:rsid w:val="6192A8A7"/>
    <w:rsid w:val="647D842E"/>
    <w:rsid w:val="697BA477"/>
    <w:rsid w:val="6A429B01"/>
    <w:rsid w:val="6B72BC2A"/>
    <w:rsid w:val="6CBA9B73"/>
    <w:rsid w:val="70C47109"/>
    <w:rsid w:val="727E14B5"/>
    <w:rsid w:val="73B32BEF"/>
    <w:rsid w:val="74B8FB20"/>
    <w:rsid w:val="764663E1"/>
    <w:rsid w:val="785A604A"/>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BE6B"/>
  <w15:chartTrackingRefBased/>
  <w15:docId w15:val="{8A885C12-D3C1-B941-97F2-257E415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A1A29"/>
    <w:pPr>
      <w:spacing w:line="295" w:lineRule="auto"/>
    </w:pPr>
  </w:style>
  <w:style w:type="paragraph" w:styleId="Heading1">
    <w:name w:val="heading 1"/>
    <w:next w:val="Normal"/>
    <w:link w:val="Heading1Char"/>
    <w:autoRedefine/>
    <w:uiPriority w:val="9"/>
    <w:qFormat/>
    <w:rsid w:val="00930A9C"/>
    <w:pPr>
      <w:outlineLvl w:val="0"/>
    </w:pPr>
    <w:rPr>
      <w:rFonts w:ascii="Lato" w:hAnsi="Lato"/>
      <w:b/>
      <w:noProof/>
      <w:color w:val="F28F1A" w:themeColor="accent3"/>
      <w:sz w:val="36"/>
      <w:szCs w:val="40"/>
      <w:lang w:val="en-US"/>
    </w:rPr>
  </w:style>
  <w:style w:type="paragraph" w:styleId="Heading2">
    <w:name w:val="heading 2"/>
    <w:basedOn w:val="Heading1"/>
    <w:next w:val="Normal"/>
    <w:link w:val="Heading2Char"/>
    <w:autoRedefine/>
    <w:uiPriority w:val="9"/>
    <w:unhideWhenUsed/>
    <w:qFormat/>
    <w:rsid w:val="002A749C"/>
    <w:pPr>
      <w:spacing w:after="120"/>
      <w:outlineLvl w:val="1"/>
    </w:pPr>
    <w:rPr>
      <w:rFonts w:ascii="Proxima Nova" w:hAnsi="Proxima Nova"/>
      <w:bCs/>
      <w:color w:val="10A6DF"/>
      <w:sz w:val="28"/>
      <w:szCs w:val="28"/>
    </w:rPr>
  </w:style>
  <w:style w:type="paragraph" w:styleId="Heading3">
    <w:name w:val="heading 3"/>
    <w:basedOn w:val="Normal"/>
    <w:next w:val="Normal"/>
    <w:link w:val="Heading3Char"/>
    <w:uiPriority w:val="9"/>
    <w:semiHidden/>
    <w:unhideWhenUsed/>
    <w:rsid w:val="009E1A22"/>
    <w:pPr>
      <w:keepNext/>
      <w:keepLines/>
      <w:spacing w:before="160" w:after="80"/>
      <w:outlineLvl w:val="2"/>
    </w:pPr>
    <w:rPr>
      <w:rFonts w:eastAsiaTheme="majorEastAsia" w:cstheme="majorBidi"/>
      <w:color w:val="980F15" w:themeColor="accent1" w:themeShade="BF"/>
      <w:sz w:val="28"/>
      <w:szCs w:val="28"/>
    </w:rPr>
  </w:style>
  <w:style w:type="paragraph" w:styleId="Heading4">
    <w:name w:val="heading 4"/>
    <w:basedOn w:val="Normal"/>
    <w:next w:val="Normal"/>
    <w:link w:val="Heading4Char"/>
    <w:uiPriority w:val="9"/>
    <w:semiHidden/>
    <w:unhideWhenUsed/>
    <w:qFormat/>
    <w:rsid w:val="009E1A22"/>
    <w:pPr>
      <w:keepNext/>
      <w:keepLines/>
      <w:spacing w:before="80" w:after="40"/>
      <w:outlineLvl w:val="3"/>
    </w:pPr>
    <w:rPr>
      <w:rFonts w:eastAsiaTheme="majorEastAsia" w:cstheme="majorBidi"/>
      <w:i/>
      <w:iCs/>
      <w:color w:val="980F15" w:themeColor="accent1" w:themeShade="BF"/>
    </w:rPr>
  </w:style>
  <w:style w:type="paragraph" w:styleId="Heading5">
    <w:name w:val="heading 5"/>
    <w:basedOn w:val="Normal"/>
    <w:next w:val="Normal"/>
    <w:link w:val="Heading5Char"/>
    <w:uiPriority w:val="9"/>
    <w:semiHidden/>
    <w:unhideWhenUsed/>
    <w:qFormat/>
    <w:rsid w:val="009E1A22"/>
    <w:pPr>
      <w:keepNext/>
      <w:keepLines/>
      <w:spacing w:before="80" w:after="40"/>
      <w:outlineLvl w:val="4"/>
    </w:pPr>
    <w:rPr>
      <w:rFonts w:eastAsiaTheme="majorEastAsia" w:cstheme="majorBidi"/>
      <w:color w:val="980F15" w:themeColor="accent1" w:themeShade="BF"/>
    </w:rPr>
  </w:style>
  <w:style w:type="paragraph" w:styleId="Heading6">
    <w:name w:val="heading 6"/>
    <w:basedOn w:val="Normal"/>
    <w:next w:val="Normal"/>
    <w:link w:val="Heading6Char"/>
    <w:uiPriority w:val="9"/>
    <w:semiHidden/>
    <w:unhideWhenUsed/>
    <w:qFormat/>
    <w:rsid w:val="009E1A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A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A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A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A9C"/>
    <w:rPr>
      <w:rFonts w:ascii="Lato" w:hAnsi="Lato"/>
      <w:b/>
      <w:noProof/>
      <w:color w:val="F28F1A" w:themeColor="accent3"/>
      <w:sz w:val="36"/>
      <w:szCs w:val="40"/>
      <w:lang w:val="en-US"/>
    </w:rPr>
  </w:style>
  <w:style w:type="character" w:customStyle="1" w:styleId="Heading2Char">
    <w:name w:val="Heading 2 Char"/>
    <w:basedOn w:val="DefaultParagraphFont"/>
    <w:link w:val="Heading2"/>
    <w:uiPriority w:val="9"/>
    <w:rsid w:val="002A749C"/>
    <w:rPr>
      <w:rFonts w:ascii="Proxima Nova" w:hAnsi="Proxima Nova"/>
      <w:b/>
      <w:bCs/>
      <w:noProof/>
      <w:color w:val="10A6DF"/>
      <w:sz w:val="28"/>
      <w:szCs w:val="28"/>
      <w:lang w:val="en-US"/>
    </w:rPr>
  </w:style>
  <w:style w:type="character" w:customStyle="1" w:styleId="Heading3Char">
    <w:name w:val="Heading 3 Char"/>
    <w:basedOn w:val="DefaultParagraphFont"/>
    <w:link w:val="Heading3"/>
    <w:uiPriority w:val="9"/>
    <w:semiHidden/>
    <w:rsid w:val="00CF79F6"/>
    <w:rPr>
      <w:rFonts w:eastAsiaTheme="majorEastAsia" w:cstheme="majorBidi"/>
      <w:color w:val="980F15" w:themeColor="accent1" w:themeShade="BF"/>
      <w:sz w:val="28"/>
      <w:szCs w:val="28"/>
    </w:rPr>
  </w:style>
  <w:style w:type="character" w:customStyle="1" w:styleId="Heading4Char">
    <w:name w:val="Heading 4 Char"/>
    <w:basedOn w:val="DefaultParagraphFont"/>
    <w:link w:val="Heading4"/>
    <w:uiPriority w:val="9"/>
    <w:semiHidden/>
    <w:rsid w:val="00CF79F6"/>
    <w:rPr>
      <w:rFonts w:eastAsiaTheme="majorEastAsia" w:cstheme="majorBidi"/>
      <w:i/>
      <w:iCs/>
      <w:color w:val="980F15" w:themeColor="accent1" w:themeShade="BF"/>
    </w:rPr>
  </w:style>
  <w:style w:type="character" w:customStyle="1" w:styleId="Heading5Char">
    <w:name w:val="Heading 5 Char"/>
    <w:basedOn w:val="DefaultParagraphFont"/>
    <w:link w:val="Heading5"/>
    <w:uiPriority w:val="9"/>
    <w:semiHidden/>
    <w:rsid w:val="00CF79F6"/>
    <w:rPr>
      <w:rFonts w:eastAsiaTheme="majorEastAsia" w:cstheme="majorBidi"/>
      <w:color w:val="980F15" w:themeColor="accent1" w:themeShade="BF"/>
    </w:rPr>
  </w:style>
  <w:style w:type="character" w:customStyle="1" w:styleId="Heading6Char">
    <w:name w:val="Heading 6 Char"/>
    <w:basedOn w:val="DefaultParagraphFont"/>
    <w:link w:val="Heading6"/>
    <w:uiPriority w:val="9"/>
    <w:semiHidden/>
    <w:rsid w:val="00CF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9F6"/>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DA1A29"/>
    <w:pPr>
      <w:spacing w:after="80"/>
      <w:contextualSpacing/>
    </w:pPr>
    <w:rPr>
      <w:rFonts w:eastAsiaTheme="majorEastAsia" w:cstheme="majorBidi"/>
      <w:b/>
      <w:color w:val="3E415B"/>
      <w:spacing w:val="-10"/>
      <w:kern w:val="28"/>
      <w:szCs w:val="56"/>
    </w:rPr>
  </w:style>
  <w:style w:type="character" w:customStyle="1" w:styleId="TitleChar">
    <w:name w:val="Title Char"/>
    <w:basedOn w:val="DefaultParagraphFont"/>
    <w:link w:val="Title"/>
    <w:uiPriority w:val="10"/>
    <w:rsid w:val="00DA1A29"/>
    <w:rPr>
      <w:rFonts w:eastAsiaTheme="majorEastAsia" w:cstheme="majorBidi"/>
      <w:b/>
      <w:color w:val="3E415B"/>
      <w:spacing w:val="-10"/>
      <w:kern w:val="28"/>
      <w:szCs w:val="56"/>
    </w:rPr>
  </w:style>
  <w:style w:type="paragraph" w:styleId="Subtitle">
    <w:name w:val="Subtitle"/>
    <w:basedOn w:val="Normal"/>
    <w:next w:val="Normal"/>
    <w:link w:val="SubtitleChar"/>
    <w:uiPriority w:val="11"/>
    <w:rsid w:val="00CF79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CF79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79F6"/>
    <w:rPr>
      <w:i/>
      <w:iCs/>
      <w:color w:val="404040" w:themeColor="text1" w:themeTint="BF"/>
    </w:rPr>
  </w:style>
  <w:style w:type="paragraph" w:styleId="ListParagraph">
    <w:name w:val="List Paragraph"/>
    <w:basedOn w:val="Normal"/>
    <w:qFormat/>
    <w:rsid w:val="006803D0"/>
    <w:pPr>
      <w:contextualSpacing/>
    </w:pPr>
  </w:style>
  <w:style w:type="character" w:styleId="IntenseEmphasis">
    <w:name w:val="Intense Emphasis"/>
    <w:basedOn w:val="DefaultParagraphFont"/>
    <w:uiPriority w:val="21"/>
    <w:rsid w:val="00CF79F6"/>
    <w:rPr>
      <w:i/>
      <w:iCs/>
      <w:color w:val="980F15" w:themeColor="accent1" w:themeShade="BF"/>
    </w:rPr>
  </w:style>
  <w:style w:type="paragraph" w:styleId="IntenseQuote">
    <w:name w:val="Intense Quote"/>
    <w:basedOn w:val="Normal"/>
    <w:next w:val="Normal"/>
    <w:link w:val="IntenseQuoteChar"/>
    <w:uiPriority w:val="30"/>
    <w:rsid w:val="00CF79F6"/>
    <w:pPr>
      <w:pBdr>
        <w:top w:val="single" w:sz="4" w:space="10" w:color="980F15" w:themeColor="accent1" w:themeShade="BF"/>
        <w:bottom w:val="single" w:sz="4" w:space="10" w:color="980F15" w:themeColor="accent1" w:themeShade="BF"/>
      </w:pBdr>
      <w:spacing w:before="360" w:after="360"/>
      <w:ind w:left="864" w:right="864"/>
      <w:jc w:val="center"/>
    </w:pPr>
    <w:rPr>
      <w:i/>
      <w:iCs/>
      <w:color w:val="980F15" w:themeColor="accent1" w:themeShade="BF"/>
    </w:rPr>
  </w:style>
  <w:style w:type="character" w:customStyle="1" w:styleId="IntenseQuoteChar">
    <w:name w:val="Intense Quote Char"/>
    <w:basedOn w:val="DefaultParagraphFont"/>
    <w:link w:val="IntenseQuote"/>
    <w:uiPriority w:val="30"/>
    <w:rsid w:val="00CF79F6"/>
    <w:rPr>
      <w:i/>
      <w:iCs/>
      <w:color w:val="980F15" w:themeColor="accent1" w:themeShade="BF"/>
    </w:rPr>
  </w:style>
  <w:style w:type="character" w:styleId="IntenseReference">
    <w:name w:val="Intense Reference"/>
    <w:basedOn w:val="DefaultParagraphFont"/>
    <w:uiPriority w:val="32"/>
    <w:rsid w:val="00CF79F6"/>
    <w:rPr>
      <w:b/>
      <w:bCs/>
      <w:smallCaps/>
      <w:color w:val="980F15" w:themeColor="accent1" w:themeShade="BF"/>
      <w:spacing w:val="5"/>
    </w:rPr>
  </w:style>
  <w:style w:type="numbering" w:customStyle="1" w:styleId="Style1">
    <w:name w:val="Style1"/>
    <w:uiPriority w:val="99"/>
    <w:rsid w:val="009E1A22"/>
    <w:pPr>
      <w:numPr>
        <w:numId w:val="1"/>
      </w:numPr>
    </w:pPr>
  </w:style>
  <w:style w:type="character" w:styleId="Hyperlink">
    <w:name w:val="Hyperlink"/>
    <w:basedOn w:val="DefaultParagraphFont"/>
    <w:uiPriority w:val="99"/>
    <w:unhideWhenUsed/>
    <w:rsid w:val="0018313B"/>
    <w:rPr>
      <w:color w:val="24599B" w:themeColor="hyperlink"/>
      <w:u w:val="single"/>
    </w:rPr>
  </w:style>
  <w:style w:type="character" w:styleId="UnresolvedMention">
    <w:name w:val="Unresolved Mention"/>
    <w:basedOn w:val="DefaultParagraphFont"/>
    <w:uiPriority w:val="99"/>
    <w:semiHidden/>
    <w:unhideWhenUsed/>
    <w:rsid w:val="0018313B"/>
    <w:rPr>
      <w:color w:val="605E5C"/>
      <w:shd w:val="clear" w:color="auto" w:fill="E1DFDD"/>
    </w:rPr>
  </w:style>
  <w:style w:type="paragraph" w:styleId="Header">
    <w:name w:val="header"/>
    <w:basedOn w:val="Normal"/>
    <w:link w:val="HeaderChar"/>
    <w:uiPriority w:val="99"/>
    <w:unhideWhenUsed/>
    <w:rsid w:val="0018313B"/>
    <w:pPr>
      <w:tabs>
        <w:tab w:val="center" w:pos="4680"/>
        <w:tab w:val="right" w:pos="9360"/>
      </w:tabs>
      <w:spacing w:line="240" w:lineRule="auto"/>
    </w:pPr>
  </w:style>
  <w:style w:type="character" w:customStyle="1" w:styleId="HeaderChar">
    <w:name w:val="Header Char"/>
    <w:basedOn w:val="DefaultParagraphFont"/>
    <w:link w:val="Header"/>
    <w:uiPriority w:val="99"/>
    <w:rsid w:val="0018313B"/>
    <w:rPr>
      <w:sz w:val="20"/>
    </w:rPr>
  </w:style>
  <w:style w:type="paragraph" w:styleId="Footer">
    <w:name w:val="footer"/>
    <w:basedOn w:val="Normal"/>
    <w:link w:val="FooterChar"/>
    <w:uiPriority w:val="99"/>
    <w:unhideWhenUsed/>
    <w:rsid w:val="0018313B"/>
    <w:pPr>
      <w:tabs>
        <w:tab w:val="center" w:pos="4680"/>
        <w:tab w:val="right" w:pos="9360"/>
      </w:tabs>
      <w:spacing w:line="240" w:lineRule="auto"/>
    </w:pPr>
  </w:style>
  <w:style w:type="character" w:customStyle="1" w:styleId="FooterChar">
    <w:name w:val="Footer Char"/>
    <w:basedOn w:val="DefaultParagraphFont"/>
    <w:link w:val="Footer"/>
    <w:uiPriority w:val="99"/>
    <w:rsid w:val="0018313B"/>
    <w:rPr>
      <w:sz w:val="20"/>
    </w:rPr>
  </w:style>
  <w:style w:type="character" w:styleId="PageNumber">
    <w:name w:val="page number"/>
    <w:basedOn w:val="DefaultParagraphFont"/>
    <w:uiPriority w:val="99"/>
    <w:semiHidden/>
    <w:unhideWhenUsed/>
    <w:rsid w:val="0018313B"/>
    <w:rPr>
      <w:rFonts w:ascii="Proxima Nova Light" w:hAnsi="Proxima Nova Light"/>
      <w:b w:val="0"/>
      <w:i w:val="0"/>
      <w:sz w:val="13"/>
    </w:rPr>
  </w:style>
  <w:style w:type="paragraph" w:customStyle="1" w:styleId="HeaderTitle">
    <w:name w:val="Header Title"/>
    <w:basedOn w:val="Normal"/>
    <w:qFormat/>
    <w:rsid w:val="00170A1F"/>
    <w:pPr>
      <w:spacing w:line="216" w:lineRule="auto"/>
    </w:pPr>
    <w:rPr>
      <w:rFonts w:ascii="Proxima Nova Black" w:hAnsi="Proxima Nova Black" w:cs="Times New Roman (Body CS)"/>
      <w:b/>
      <w:bCs/>
      <w:caps/>
      <w:color w:val="3C405C" w:themeColor="text2"/>
      <w:sz w:val="48"/>
      <w:szCs w:val="48"/>
      <w:lang w:val="en-US"/>
    </w:rPr>
  </w:style>
  <w:style w:type="numbering" w:customStyle="1" w:styleId="ETE">
    <w:name w:val="ETE"/>
    <w:uiPriority w:val="99"/>
    <w:rsid w:val="001F20ED"/>
    <w:pPr>
      <w:numPr>
        <w:numId w:val="2"/>
      </w:numPr>
    </w:pPr>
  </w:style>
  <w:style w:type="numbering" w:customStyle="1" w:styleId="CurrentList1">
    <w:name w:val="Current List1"/>
    <w:uiPriority w:val="99"/>
    <w:rsid w:val="00EF3C13"/>
    <w:pPr>
      <w:numPr>
        <w:numId w:val="3"/>
      </w:numPr>
    </w:pPr>
  </w:style>
  <w:style w:type="paragraph" w:styleId="Revision">
    <w:name w:val="Revision"/>
    <w:hidden/>
    <w:uiPriority w:val="99"/>
    <w:semiHidden/>
    <w:rsid w:val="008E3242"/>
    <w:rPr>
      <w:sz w:val="20"/>
    </w:rPr>
  </w:style>
  <w:style w:type="paragraph" w:customStyle="1" w:styleId="BulletParagraph">
    <w:name w:val="Bullet Paragraph"/>
    <w:basedOn w:val="ListParagraph"/>
    <w:qFormat/>
    <w:rsid w:val="008E3242"/>
    <w:pPr>
      <w:numPr>
        <w:numId w:val="4"/>
      </w:numPr>
    </w:pPr>
  </w:style>
  <w:style w:type="character" w:customStyle="1" w:styleId="apple-converted-space">
    <w:name w:val="apple-converted-space"/>
    <w:basedOn w:val="DefaultParagraphFont"/>
    <w:rsid w:val="00B07DFF"/>
  </w:style>
  <w:style w:type="paragraph" w:styleId="NormalWeb">
    <w:name w:val="Normal (Web)"/>
    <w:basedOn w:val="Normal"/>
    <w:uiPriority w:val="99"/>
    <w:unhideWhenUsed/>
    <w:rsid w:val="00B07D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guhvha">
    <w:name w:val="sc-guhvha"/>
    <w:basedOn w:val="DefaultParagraphFont"/>
    <w:rsid w:val="00950B2F"/>
  </w:style>
  <w:style w:type="character" w:customStyle="1" w:styleId="sc-iyyiy">
    <w:name w:val="sc-iyyiy"/>
    <w:basedOn w:val="DefaultParagraphFont"/>
    <w:rsid w:val="00950B2F"/>
  </w:style>
  <w:style w:type="paragraph" w:styleId="BodyText">
    <w:name w:val="Body Text"/>
    <w:basedOn w:val="Normal"/>
    <w:link w:val="BodyTextChar"/>
    <w:uiPriority w:val="1"/>
    <w:qFormat/>
    <w:rsid w:val="00537B38"/>
    <w:pPr>
      <w:widowControl w:val="0"/>
      <w:autoSpaceDE w:val="0"/>
      <w:autoSpaceDN w:val="0"/>
      <w:spacing w:line="240" w:lineRule="auto"/>
    </w:pPr>
    <w:rPr>
      <w:rFonts w:ascii="Arial" w:eastAsia="Arial" w:hAnsi="Arial" w:cs="Arial"/>
      <w:kern w:val="0"/>
      <w:sz w:val="21"/>
      <w:szCs w:val="21"/>
      <w:lang w:val="en-US"/>
      <w14:ligatures w14:val="none"/>
    </w:rPr>
  </w:style>
  <w:style w:type="character" w:customStyle="1" w:styleId="BodyTextChar">
    <w:name w:val="Body Text Char"/>
    <w:basedOn w:val="DefaultParagraphFont"/>
    <w:link w:val="BodyText"/>
    <w:uiPriority w:val="1"/>
    <w:rsid w:val="00537B38"/>
    <w:rPr>
      <w:rFonts w:ascii="Arial" w:eastAsia="Arial" w:hAnsi="Arial" w:cs="Arial"/>
      <w:kern w:val="0"/>
      <w:sz w:val="21"/>
      <w:szCs w:val="21"/>
      <w:lang w:val="en-US"/>
      <w14:ligatures w14:val="none"/>
    </w:rPr>
  </w:style>
  <w:style w:type="character" w:styleId="CommentReference">
    <w:name w:val="annotation reference"/>
    <w:basedOn w:val="DefaultParagraphFont"/>
    <w:uiPriority w:val="99"/>
    <w:semiHidden/>
    <w:unhideWhenUsed/>
    <w:rsid w:val="00537B38"/>
    <w:rPr>
      <w:sz w:val="16"/>
      <w:szCs w:val="16"/>
    </w:rPr>
  </w:style>
  <w:style w:type="paragraph" w:styleId="CommentText">
    <w:name w:val="annotation text"/>
    <w:basedOn w:val="Normal"/>
    <w:link w:val="CommentTextChar"/>
    <w:uiPriority w:val="99"/>
    <w:unhideWhenUsed/>
    <w:rsid w:val="00DA5415"/>
    <w:pPr>
      <w:spacing w:line="240" w:lineRule="auto"/>
    </w:pPr>
    <w:rPr>
      <w:sz w:val="20"/>
      <w:szCs w:val="20"/>
    </w:rPr>
  </w:style>
  <w:style w:type="character" w:customStyle="1" w:styleId="CommentTextChar">
    <w:name w:val="Comment Text Char"/>
    <w:basedOn w:val="DefaultParagraphFont"/>
    <w:link w:val="CommentText"/>
    <w:uiPriority w:val="99"/>
    <w:rsid w:val="00DA5415"/>
    <w:rPr>
      <w:sz w:val="20"/>
      <w:szCs w:val="20"/>
    </w:rPr>
  </w:style>
  <w:style w:type="paragraph" w:styleId="CommentSubject">
    <w:name w:val="annotation subject"/>
    <w:basedOn w:val="CommentText"/>
    <w:next w:val="CommentText"/>
    <w:link w:val="CommentSubjectChar"/>
    <w:uiPriority w:val="99"/>
    <w:semiHidden/>
    <w:unhideWhenUsed/>
    <w:rsid w:val="00DA5415"/>
    <w:rPr>
      <w:b/>
      <w:bCs/>
    </w:rPr>
  </w:style>
  <w:style w:type="character" w:customStyle="1" w:styleId="CommentSubjectChar">
    <w:name w:val="Comment Subject Char"/>
    <w:basedOn w:val="CommentTextChar"/>
    <w:link w:val="CommentSubject"/>
    <w:uiPriority w:val="99"/>
    <w:semiHidden/>
    <w:rsid w:val="00DA5415"/>
    <w:rPr>
      <w:b/>
      <w:bCs/>
      <w:sz w:val="20"/>
      <w:szCs w:val="20"/>
    </w:rPr>
  </w:style>
  <w:style w:type="character" w:customStyle="1" w:styleId="field">
    <w:name w:val="field"/>
    <w:basedOn w:val="DefaultParagraphFont"/>
    <w:rsid w:val="002A749C"/>
  </w:style>
  <w:style w:type="paragraph" w:customStyle="1" w:styleId="paragraph">
    <w:name w:val="paragraph"/>
    <w:basedOn w:val="Normal"/>
    <w:rsid w:val="00D95A7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95A7A"/>
  </w:style>
  <w:style w:type="character" w:customStyle="1" w:styleId="eop">
    <w:name w:val="eop"/>
    <w:basedOn w:val="DefaultParagraphFont"/>
    <w:rsid w:val="00D95A7A"/>
  </w:style>
  <w:style w:type="character" w:styleId="Emphasis">
    <w:name w:val="Emphasis"/>
    <w:basedOn w:val="DefaultParagraphFont"/>
    <w:uiPriority w:val="20"/>
    <w:qFormat/>
    <w:rsid w:val="003E2C59"/>
    <w:rPr>
      <w:i/>
      <w:iCs/>
    </w:rPr>
  </w:style>
  <w:style w:type="character" w:styleId="Strong">
    <w:name w:val="Strong"/>
    <w:basedOn w:val="DefaultParagraphFont"/>
    <w:uiPriority w:val="22"/>
    <w:qFormat/>
    <w:rsid w:val="00930A9C"/>
    <w:rPr>
      <w:b/>
      <w:bCs/>
    </w:rPr>
  </w:style>
  <w:style w:type="character" w:customStyle="1" w:styleId="whitespace-normal">
    <w:name w:val="whitespace-normal"/>
    <w:basedOn w:val="DefaultParagraphFont"/>
    <w:rsid w:val="00DA4D69"/>
  </w:style>
  <w:style w:type="character" w:customStyle="1" w:styleId="outlook-search-highlight">
    <w:name w:val="outlook-search-highlight"/>
    <w:basedOn w:val="DefaultParagraphFont"/>
    <w:rsid w:val="00C33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8">
      <w:bodyDiv w:val="1"/>
      <w:marLeft w:val="0"/>
      <w:marRight w:val="0"/>
      <w:marTop w:val="0"/>
      <w:marBottom w:val="0"/>
      <w:divBdr>
        <w:top w:val="none" w:sz="0" w:space="0" w:color="auto"/>
        <w:left w:val="none" w:sz="0" w:space="0" w:color="auto"/>
        <w:bottom w:val="none" w:sz="0" w:space="0" w:color="auto"/>
        <w:right w:val="none" w:sz="0" w:space="0" w:color="auto"/>
      </w:divBdr>
      <w:divsChild>
        <w:div w:id="799038587">
          <w:marLeft w:val="0"/>
          <w:marRight w:val="0"/>
          <w:marTop w:val="0"/>
          <w:marBottom w:val="0"/>
          <w:divBdr>
            <w:top w:val="none" w:sz="0" w:space="0" w:color="auto"/>
            <w:left w:val="none" w:sz="0" w:space="0" w:color="auto"/>
            <w:bottom w:val="none" w:sz="0" w:space="0" w:color="auto"/>
            <w:right w:val="none" w:sz="0" w:space="0" w:color="auto"/>
          </w:divBdr>
        </w:div>
        <w:div w:id="869074307">
          <w:marLeft w:val="0"/>
          <w:marRight w:val="0"/>
          <w:marTop w:val="0"/>
          <w:marBottom w:val="0"/>
          <w:divBdr>
            <w:top w:val="none" w:sz="0" w:space="0" w:color="auto"/>
            <w:left w:val="none" w:sz="0" w:space="0" w:color="auto"/>
            <w:bottom w:val="none" w:sz="0" w:space="0" w:color="auto"/>
            <w:right w:val="none" w:sz="0" w:space="0" w:color="auto"/>
          </w:divBdr>
        </w:div>
        <w:div w:id="1926955853">
          <w:marLeft w:val="0"/>
          <w:marRight w:val="0"/>
          <w:marTop w:val="0"/>
          <w:marBottom w:val="0"/>
          <w:divBdr>
            <w:top w:val="none" w:sz="0" w:space="0" w:color="auto"/>
            <w:left w:val="none" w:sz="0" w:space="0" w:color="auto"/>
            <w:bottom w:val="none" w:sz="0" w:space="0" w:color="auto"/>
            <w:right w:val="none" w:sz="0" w:space="0" w:color="auto"/>
          </w:divBdr>
        </w:div>
      </w:divsChild>
    </w:div>
    <w:div w:id="10034415">
      <w:bodyDiv w:val="1"/>
      <w:marLeft w:val="0"/>
      <w:marRight w:val="0"/>
      <w:marTop w:val="0"/>
      <w:marBottom w:val="0"/>
      <w:divBdr>
        <w:top w:val="none" w:sz="0" w:space="0" w:color="auto"/>
        <w:left w:val="none" w:sz="0" w:space="0" w:color="auto"/>
        <w:bottom w:val="none" w:sz="0" w:space="0" w:color="auto"/>
        <w:right w:val="none" w:sz="0" w:space="0" w:color="auto"/>
      </w:divBdr>
      <w:divsChild>
        <w:div w:id="516115811">
          <w:marLeft w:val="0"/>
          <w:marRight w:val="0"/>
          <w:marTop w:val="0"/>
          <w:marBottom w:val="0"/>
          <w:divBdr>
            <w:top w:val="none" w:sz="0" w:space="0" w:color="auto"/>
            <w:left w:val="none" w:sz="0" w:space="0" w:color="auto"/>
            <w:bottom w:val="none" w:sz="0" w:space="0" w:color="auto"/>
            <w:right w:val="none" w:sz="0" w:space="0" w:color="auto"/>
          </w:divBdr>
          <w:divsChild>
            <w:div w:id="775252229">
              <w:marLeft w:val="0"/>
              <w:marRight w:val="0"/>
              <w:marTop w:val="0"/>
              <w:marBottom w:val="0"/>
              <w:divBdr>
                <w:top w:val="none" w:sz="0" w:space="0" w:color="auto"/>
                <w:left w:val="none" w:sz="0" w:space="0" w:color="auto"/>
                <w:bottom w:val="none" w:sz="0" w:space="0" w:color="auto"/>
                <w:right w:val="none" w:sz="0" w:space="0" w:color="auto"/>
              </w:divBdr>
              <w:divsChild>
                <w:div w:id="1195774725">
                  <w:marLeft w:val="0"/>
                  <w:marRight w:val="0"/>
                  <w:marTop w:val="0"/>
                  <w:marBottom w:val="0"/>
                  <w:divBdr>
                    <w:top w:val="none" w:sz="0" w:space="0" w:color="auto"/>
                    <w:left w:val="none" w:sz="0" w:space="0" w:color="auto"/>
                    <w:bottom w:val="none" w:sz="0" w:space="0" w:color="auto"/>
                    <w:right w:val="none" w:sz="0" w:space="0" w:color="auto"/>
                  </w:divBdr>
                  <w:divsChild>
                    <w:div w:id="20026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8343">
      <w:bodyDiv w:val="1"/>
      <w:marLeft w:val="0"/>
      <w:marRight w:val="0"/>
      <w:marTop w:val="0"/>
      <w:marBottom w:val="0"/>
      <w:divBdr>
        <w:top w:val="none" w:sz="0" w:space="0" w:color="auto"/>
        <w:left w:val="none" w:sz="0" w:space="0" w:color="auto"/>
        <w:bottom w:val="none" w:sz="0" w:space="0" w:color="auto"/>
        <w:right w:val="none" w:sz="0" w:space="0" w:color="auto"/>
      </w:divBdr>
    </w:div>
    <w:div w:id="185414115">
      <w:bodyDiv w:val="1"/>
      <w:marLeft w:val="0"/>
      <w:marRight w:val="0"/>
      <w:marTop w:val="0"/>
      <w:marBottom w:val="0"/>
      <w:divBdr>
        <w:top w:val="none" w:sz="0" w:space="0" w:color="auto"/>
        <w:left w:val="none" w:sz="0" w:space="0" w:color="auto"/>
        <w:bottom w:val="none" w:sz="0" w:space="0" w:color="auto"/>
        <w:right w:val="none" w:sz="0" w:space="0" w:color="auto"/>
      </w:divBdr>
    </w:div>
    <w:div w:id="238906384">
      <w:bodyDiv w:val="1"/>
      <w:marLeft w:val="0"/>
      <w:marRight w:val="0"/>
      <w:marTop w:val="0"/>
      <w:marBottom w:val="0"/>
      <w:divBdr>
        <w:top w:val="none" w:sz="0" w:space="0" w:color="auto"/>
        <w:left w:val="none" w:sz="0" w:space="0" w:color="auto"/>
        <w:bottom w:val="none" w:sz="0" w:space="0" w:color="auto"/>
        <w:right w:val="none" w:sz="0" w:space="0" w:color="auto"/>
      </w:divBdr>
      <w:divsChild>
        <w:div w:id="658267179">
          <w:marLeft w:val="0"/>
          <w:marRight w:val="0"/>
          <w:marTop w:val="0"/>
          <w:marBottom w:val="0"/>
          <w:divBdr>
            <w:top w:val="none" w:sz="0" w:space="0" w:color="auto"/>
            <w:left w:val="none" w:sz="0" w:space="0" w:color="auto"/>
            <w:bottom w:val="none" w:sz="0" w:space="0" w:color="auto"/>
            <w:right w:val="none" w:sz="0" w:space="0" w:color="auto"/>
          </w:divBdr>
        </w:div>
      </w:divsChild>
    </w:div>
    <w:div w:id="326714988">
      <w:bodyDiv w:val="1"/>
      <w:marLeft w:val="0"/>
      <w:marRight w:val="0"/>
      <w:marTop w:val="0"/>
      <w:marBottom w:val="0"/>
      <w:divBdr>
        <w:top w:val="none" w:sz="0" w:space="0" w:color="auto"/>
        <w:left w:val="none" w:sz="0" w:space="0" w:color="auto"/>
        <w:bottom w:val="none" w:sz="0" w:space="0" w:color="auto"/>
        <w:right w:val="none" w:sz="0" w:space="0" w:color="auto"/>
      </w:divBdr>
    </w:div>
    <w:div w:id="471411093">
      <w:bodyDiv w:val="1"/>
      <w:marLeft w:val="0"/>
      <w:marRight w:val="0"/>
      <w:marTop w:val="0"/>
      <w:marBottom w:val="0"/>
      <w:divBdr>
        <w:top w:val="none" w:sz="0" w:space="0" w:color="auto"/>
        <w:left w:val="none" w:sz="0" w:space="0" w:color="auto"/>
        <w:bottom w:val="none" w:sz="0" w:space="0" w:color="auto"/>
        <w:right w:val="none" w:sz="0" w:space="0" w:color="auto"/>
      </w:divBdr>
    </w:div>
    <w:div w:id="483160618">
      <w:bodyDiv w:val="1"/>
      <w:marLeft w:val="0"/>
      <w:marRight w:val="0"/>
      <w:marTop w:val="0"/>
      <w:marBottom w:val="0"/>
      <w:divBdr>
        <w:top w:val="none" w:sz="0" w:space="0" w:color="auto"/>
        <w:left w:val="none" w:sz="0" w:space="0" w:color="auto"/>
        <w:bottom w:val="none" w:sz="0" w:space="0" w:color="auto"/>
        <w:right w:val="none" w:sz="0" w:space="0" w:color="auto"/>
      </w:divBdr>
      <w:divsChild>
        <w:div w:id="378168788">
          <w:marLeft w:val="0"/>
          <w:marRight w:val="0"/>
          <w:marTop w:val="0"/>
          <w:marBottom w:val="0"/>
          <w:divBdr>
            <w:top w:val="none" w:sz="0" w:space="0" w:color="auto"/>
            <w:left w:val="none" w:sz="0" w:space="0" w:color="auto"/>
            <w:bottom w:val="none" w:sz="0" w:space="0" w:color="auto"/>
            <w:right w:val="none" w:sz="0" w:space="0" w:color="auto"/>
          </w:divBdr>
          <w:divsChild>
            <w:div w:id="219635753">
              <w:marLeft w:val="0"/>
              <w:marRight w:val="0"/>
              <w:marTop w:val="0"/>
              <w:marBottom w:val="0"/>
              <w:divBdr>
                <w:top w:val="none" w:sz="0" w:space="0" w:color="auto"/>
                <w:left w:val="none" w:sz="0" w:space="0" w:color="auto"/>
                <w:bottom w:val="none" w:sz="0" w:space="0" w:color="auto"/>
                <w:right w:val="none" w:sz="0" w:space="0" w:color="auto"/>
              </w:divBdr>
              <w:divsChild>
                <w:div w:id="1721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8032">
      <w:bodyDiv w:val="1"/>
      <w:marLeft w:val="0"/>
      <w:marRight w:val="0"/>
      <w:marTop w:val="0"/>
      <w:marBottom w:val="0"/>
      <w:divBdr>
        <w:top w:val="none" w:sz="0" w:space="0" w:color="auto"/>
        <w:left w:val="none" w:sz="0" w:space="0" w:color="auto"/>
        <w:bottom w:val="none" w:sz="0" w:space="0" w:color="auto"/>
        <w:right w:val="none" w:sz="0" w:space="0" w:color="auto"/>
      </w:divBdr>
      <w:divsChild>
        <w:div w:id="96171254">
          <w:marLeft w:val="0"/>
          <w:marRight w:val="0"/>
          <w:marTop w:val="0"/>
          <w:marBottom w:val="0"/>
          <w:divBdr>
            <w:top w:val="none" w:sz="0" w:space="0" w:color="auto"/>
            <w:left w:val="none" w:sz="0" w:space="0" w:color="auto"/>
            <w:bottom w:val="none" w:sz="0" w:space="0" w:color="auto"/>
            <w:right w:val="none" w:sz="0" w:space="0" w:color="auto"/>
          </w:divBdr>
        </w:div>
        <w:div w:id="512652114">
          <w:marLeft w:val="0"/>
          <w:marRight w:val="0"/>
          <w:marTop w:val="0"/>
          <w:marBottom w:val="0"/>
          <w:divBdr>
            <w:top w:val="none" w:sz="0" w:space="0" w:color="auto"/>
            <w:left w:val="none" w:sz="0" w:space="0" w:color="auto"/>
            <w:bottom w:val="none" w:sz="0" w:space="0" w:color="auto"/>
            <w:right w:val="none" w:sz="0" w:space="0" w:color="auto"/>
          </w:divBdr>
        </w:div>
        <w:div w:id="1149251460">
          <w:marLeft w:val="0"/>
          <w:marRight w:val="0"/>
          <w:marTop w:val="0"/>
          <w:marBottom w:val="0"/>
          <w:divBdr>
            <w:top w:val="none" w:sz="0" w:space="0" w:color="auto"/>
            <w:left w:val="none" w:sz="0" w:space="0" w:color="auto"/>
            <w:bottom w:val="none" w:sz="0" w:space="0" w:color="auto"/>
            <w:right w:val="none" w:sz="0" w:space="0" w:color="auto"/>
          </w:divBdr>
        </w:div>
        <w:div w:id="1174690256">
          <w:marLeft w:val="0"/>
          <w:marRight w:val="0"/>
          <w:marTop w:val="0"/>
          <w:marBottom w:val="0"/>
          <w:divBdr>
            <w:top w:val="none" w:sz="0" w:space="0" w:color="auto"/>
            <w:left w:val="none" w:sz="0" w:space="0" w:color="auto"/>
            <w:bottom w:val="none" w:sz="0" w:space="0" w:color="auto"/>
            <w:right w:val="none" w:sz="0" w:space="0" w:color="auto"/>
          </w:divBdr>
        </w:div>
        <w:div w:id="1678196070">
          <w:marLeft w:val="0"/>
          <w:marRight w:val="0"/>
          <w:marTop w:val="0"/>
          <w:marBottom w:val="0"/>
          <w:divBdr>
            <w:top w:val="none" w:sz="0" w:space="0" w:color="auto"/>
            <w:left w:val="none" w:sz="0" w:space="0" w:color="auto"/>
            <w:bottom w:val="none" w:sz="0" w:space="0" w:color="auto"/>
            <w:right w:val="none" w:sz="0" w:space="0" w:color="auto"/>
          </w:divBdr>
        </w:div>
      </w:divsChild>
    </w:div>
    <w:div w:id="553663138">
      <w:bodyDiv w:val="1"/>
      <w:marLeft w:val="0"/>
      <w:marRight w:val="0"/>
      <w:marTop w:val="0"/>
      <w:marBottom w:val="0"/>
      <w:divBdr>
        <w:top w:val="none" w:sz="0" w:space="0" w:color="auto"/>
        <w:left w:val="none" w:sz="0" w:space="0" w:color="auto"/>
        <w:bottom w:val="none" w:sz="0" w:space="0" w:color="auto"/>
        <w:right w:val="none" w:sz="0" w:space="0" w:color="auto"/>
      </w:divBdr>
      <w:divsChild>
        <w:div w:id="2068529207">
          <w:marLeft w:val="0"/>
          <w:marRight w:val="0"/>
          <w:marTop w:val="0"/>
          <w:marBottom w:val="0"/>
          <w:divBdr>
            <w:top w:val="none" w:sz="0" w:space="0" w:color="auto"/>
            <w:left w:val="none" w:sz="0" w:space="0" w:color="auto"/>
            <w:bottom w:val="none" w:sz="0" w:space="0" w:color="auto"/>
            <w:right w:val="none" w:sz="0" w:space="0" w:color="auto"/>
          </w:divBdr>
          <w:divsChild>
            <w:div w:id="2146122255">
              <w:marLeft w:val="0"/>
              <w:marRight w:val="0"/>
              <w:marTop w:val="0"/>
              <w:marBottom w:val="0"/>
              <w:divBdr>
                <w:top w:val="none" w:sz="0" w:space="0" w:color="auto"/>
                <w:left w:val="none" w:sz="0" w:space="0" w:color="auto"/>
                <w:bottom w:val="none" w:sz="0" w:space="0" w:color="auto"/>
                <w:right w:val="none" w:sz="0" w:space="0" w:color="auto"/>
              </w:divBdr>
              <w:divsChild>
                <w:div w:id="301160801">
                  <w:marLeft w:val="0"/>
                  <w:marRight w:val="0"/>
                  <w:marTop w:val="0"/>
                  <w:marBottom w:val="0"/>
                  <w:divBdr>
                    <w:top w:val="none" w:sz="0" w:space="0" w:color="auto"/>
                    <w:left w:val="none" w:sz="0" w:space="0" w:color="auto"/>
                    <w:bottom w:val="none" w:sz="0" w:space="0" w:color="auto"/>
                    <w:right w:val="none" w:sz="0" w:space="0" w:color="auto"/>
                  </w:divBdr>
                  <w:divsChild>
                    <w:div w:id="13817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0813">
      <w:bodyDiv w:val="1"/>
      <w:marLeft w:val="0"/>
      <w:marRight w:val="0"/>
      <w:marTop w:val="0"/>
      <w:marBottom w:val="0"/>
      <w:divBdr>
        <w:top w:val="none" w:sz="0" w:space="0" w:color="auto"/>
        <w:left w:val="none" w:sz="0" w:space="0" w:color="auto"/>
        <w:bottom w:val="none" w:sz="0" w:space="0" w:color="auto"/>
        <w:right w:val="none" w:sz="0" w:space="0" w:color="auto"/>
      </w:divBdr>
      <w:divsChild>
        <w:div w:id="1970040704">
          <w:marLeft w:val="0"/>
          <w:marRight w:val="0"/>
          <w:marTop w:val="0"/>
          <w:marBottom w:val="0"/>
          <w:divBdr>
            <w:top w:val="none" w:sz="0" w:space="0" w:color="auto"/>
            <w:left w:val="none" w:sz="0" w:space="0" w:color="auto"/>
            <w:bottom w:val="none" w:sz="0" w:space="0" w:color="auto"/>
            <w:right w:val="none" w:sz="0" w:space="0" w:color="auto"/>
          </w:divBdr>
          <w:divsChild>
            <w:div w:id="1438207778">
              <w:marLeft w:val="0"/>
              <w:marRight w:val="0"/>
              <w:marTop w:val="0"/>
              <w:marBottom w:val="0"/>
              <w:divBdr>
                <w:top w:val="none" w:sz="0" w:space="0" w:color="auto"/>
                <w:left w:val="none" w:sz="0" w:space="0" w:color="auto"/>
                <w:bottom w:val="none" w:sz="0" w:space="0" w:color="auto"/>
                <w:right w:val="none" w:sz="0" w:space="0" w:color="auto"/>
              </w:divBdr>
              <w:divsChild>
                <w:div w:id="887884736">
                  <w:marLeft w:val="0"/>
                  <w:marRight w:val="0"/>
                  <w:marTop w:val="0"/>
                  <w:marBottom w:val="0"/>
                  <w:divBdr>
                    <w:top w:val="none" w:sz="0" w:space="0" w:color="auto"/>
                    <w:left w:val="none" w:sz="0" w:space="0" w:color="auto"/>
                    <w:bottom w:val="none" w:sz="0" w:space="0" w:color="auto"/>
                    <w:right w:val="none" w:sz="0" w:space="0" w:color="auto"/>
                  </w:divBdr>
                  <w:divsChild>
                    <w:div w:id="2756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25028">
      <w:bodyDiv w:val="1"/>
      <w:marLeft w:val="0"/>
      <w:marRight w:val="0"/>
      <w:marTop w:val="0"/>
      <w:marBottom w:val="0"/>
      <w:divBdr>
        <w:top w:val="none" w:sz="0" w:space="0" w:color="auto"/>
        <w:left w:val="none" w:sz="0" w:space="0" w:color="auto"/>
        <w:bottom w:val="none" w:sz="0" w:space="0" w:color="auto"/>
        <w:right w:val="none" w:sz="0" w:space="0" w:color="auto"/>
      </w:divBdr>
    </w:div>
    <w:div w:id="711927360">
      <w:bodyDiv w:val="1"/>
      <w:marLeft w:val="0"/>
      <w:marRight w:val="0"/>
      <w:marTop w:val="0"/>
      <w:marBottom w:val="0"/>
      <w:divBdr>
        <w:top w:val="none" w:sz="0" w:space="0" w:color="auto"/>
        <w:left w:val="none" w:sz="0" w:space="0" w:color="auto"/>
        <w:bottom w:val="none" w:sz="0" w:space="0" w:color="auto"/>
        <w:right w:val="none" w:sz="0" w:space="0" w:color="auto"/>
      </w:divBdr>
      <w:divsChild>
        <w:div w:id="25185576">
          <w:marLeft w:val="0"/>
          <w:marRight w:val="0"/>
          <w:marTop w:val="0"/>
          <w:marBottom w:val="0"/>
          <w:divBdr>
            <w:top w:val="none" w:sz="0" w:space="0" w:color="auto"/>
            <w:left w:val="none" w:sz="0" w:space="0" w:color="auto"/>
            <w:bottom w:val="none" w:sz="0" w:space="0" w:color="auto"/>
            <w:right w:val="none" w:sz="0" w:space="0" w:color="auto"/>
          </w:divBdr>
        </w:div>
        <w:div w:id="379979291">
          <w:marLeft w:val="0"/>
          <w:marRight w:val="0"/>
          <w:marTop w:val="0"/>
          <w:marBottom w:val="0"/>
          <w:divBdr>
            <w:top w:val="none" w:sz="0" w:space="0" w:color="auto"/>
            <w:left w:val="none" w:sz="0" w:space="0" w:color="auto"/>
            <w:bottom w:val="none" w:sz="0" w:space="0" w:color="auto"/>
            <w:right w:val="none" w:sz="0" w:space="0" w:color="auto"/>
          </w:divBdr>
        </w:div>
        <w:div w:id="562912475">
          <w:marLeft w:val="0"/>
          <w:marRight w:val="0"/>
          <w:marTop w:val="0"/>
          <w:marBottom w:val="0"/>
          <w:divBdr>
            <w:top w:val="none" w:sz="0" w:space="0" w:color="auto"/>
            <w:left w:val="none" w:sz="0" w:space="0" w:color="auto"/>
            <w:bottom w:val="none" w:sz="0" w:space="0" w:color="auto"/>
            <w:right w:val="none" w:sz="0" w:space="0" w:color="auto"/>
          </w:divBdr>
        </w:div>
        <w:div w:id="652442667">
          <w:marLeft w:val="0"/>
          <w:marRight w:val="0"/>
          <w:marTop w:val="0"/>
          <w:marBottom w:val="0"/>
          <w:divBdr>
            <w:top w:val="none" w:sz="0" w:space="0" w:color="auto"/>
            <w:left w:val="none" w:sz="0" w:space="0" w:color="auto"/>
            <w:bottom w:val="none" w:sz="0" w:space="0" w:color="auto"/>
            <w:right w:val="none" w:sz="0" w:space="0" w:color="auto"/>
          </w:divBdr>
        </w:div>
        <w:div w:id="796993883">
          <w:marLeft w:val="0"/>
          <w:marRight w:val="0"/>
          <w:marTop w:val="0"/>
          <w:marBottom w:val="0"/>
          <w:divBdr>
            <w:top w:val="none" w:sz="0" w:space="0" w:color="auto"/>
            <w:left w:val="none" w:sz="0" w:space="0" w:color="auto"/>
            <w:bottom w:val="none" w:sz="0" w:space="0" w:color="auto"/>
            <w:right w:val="none" w:sz="0" w:space="0" w:color="auto"/>
          </w:divBdr>
        </w:div>
        <w:div w:id="1184436907">
          <w:marLeft w:val="0"/>
          <w:marRight w:val="0"/>
          <w:marTop w:val="0"/>
          <w:marBottom w:val="0"/>
          <w:divBdr>
            <w:top w:val="none" w:sz="0" w:space="0" w:color="auto"/>
            <w:left w:val="none" w:sz="0" w:space="0" w:color="auto"/>
            <w:bottom w:val="none" w:sz="0" w:space="0" w:color="auto"/>
            <w:right w:val="none" w:sz="0" w:space="0" w:color="auto"/>
          </w:divBdr>
        </w:div>
        <w:div w:id="1213879919">
          <w:marLeft w:val="0"/>
          <w:marRight w:val="0"/>
          <w:marTop w:val="0"/>
          <w:marBottom w:val="0"/>
          <w:divBdr>
            <w:top w:val="none" w:sz="0" w:space="0" w:color="auto"/>
            <w:left w:val="none" w:sz="0" w:space="0" w:color="auto"/>
            <w:bottom w:val="none" w:sz="0" w:space="0" w:color="auto"/>
            <w:right w:val="none" w:sz="0" w:space="0" w:color="auto"/>
          </w:divBdr>
        </w:div>
        <w:div w:id="1916276617">
          <w:marLeft w:val="0"/>
          <w:marRight w:val="0"/>
          <w:marTop w:val="0"/>
          <w:marBottom w:val="0"/>
          <w:divBdr>
            <w:top w:val="none" w:sz="0" w:space="0" w:color="auto"/>
            <w:left w:val="none" w:sz="0" w:space="0" w:color="auto"/>
            <w:bottom w:val="none" w:sz="0" w:space="0" w:color="auto"/>
            <w:right w:val="none" w:sz="0" w:space="0" w:color="auto"/>
          </w:divBdr>
        </w:div>
      </w:divsChild>
    </w:div>
    <w:div w:id="733889520">
      <w:bodyDiv w:val="1"/>
      <w:marLeft w:val="0"/>
      <w:marRight w:val="0"/>
      <w:marTop w:val="0"/>
      <w:marBottom w:val="0"/>
      <w:divBdr>
        <w:top w:val="none" w:sz="0" w:space="0" w:color="auto"/>
        <w:left w:val="none" w:sz="0" w:space="0" w:color="auto"/>
        <w:bottom w:val="none" w:sz="0" w:space="0" w:color="auto"/>
        <w:right w:val="none" w:sz="0" w:space="0" w:color="auto"/>
      </w:divBdr>
      <w:divsChild>
        <w:div w:id="642782194">
          <w:marLeft w:val="0"/>
          <w:marRight w:val="0"/>
          <w:marTop w:val="0"/>
          <w:marBottom w:val="0"/>
          <w:divBdr>
            <w:top w:val="none" w:sz="0" w:space="0" w:color="auto"/>
            <w:left w:val="none" w:sz="0" w:space="0" w:color="auto"/>
            <w:bottom w:val="none" w:sz="0" w:space="0" w:color="auto"/>
            <w:right w:val="none" w:sz="0" w:space="0" w:color="auto"/>
          </w:divBdr>
          <w:divsChild>
            <w:div w:id="147943663">
              <w:marLeft w:val="0"/>
              <w:marRight w:val="0"/>
              <w:marTop w:val="0"/>
              <w:marBottom w:val="0"/>
              <w:divBdr>
                <w:top w:val="none" w:sz="0" w:space="0" w:color="auto"/>
                <w:left w:val="none" w:sz="0" w:space="0" w:color="auto"/>
                <w:bottom w:val="none" w:sz="0" w:space="0" w:color="auto"/>
                <w:right w:val="none" w:sz="0" w:space="0" w:color="auto"/>
              </w:divBdr>
              <w:divsChild>
                <w:div w:id="550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3205">
      <w:bodyDiv w:val="1"/>
      <w:marLeft w:val="0"/>
      <w:marRight w:val="0"/>
      <w:marTop w:val="0"/>
      <w:marBottom w:val="0"/>
      <w:divBdr>
        <w:top w:val="none" w:sz="0" w:space="0" w:color="auto"/>
        <w:left w:val="none" w:sz="0" w:space="0" w:color="auto"/>
        <w:bottom w:val="none" w:sz="0" w:space="0" w:color="auto"/>
        <w:right w:val="none" w:sz="0" w:space="0" w:color="auto"/>
      </w:divBdr>
      <w:divsChild>
        <w:div w:id="1865358299">
          <w:marLeft w:val="0"/>
          <w:marRight w:val="0"/>
          <w:marTop w:val="0"/>
          <w:marBottom w:val="0"/>
          <w:divBdr>
            <w:top w:val="none" w:sz="0" w:space="0" w:color="auto"/>
            <w:left w:val="none" w:sz="0" w:space="0" w:color="auto"/>
            <w:bottom w:val="none" w:sz="0" w:space="0" w:color="auto"/>
            <w:right w:val="none" w:sz="0" w:space="0" w:color="auto"/>
          </w:divBdr>
          <w:divsChild>
            <w:div w:id="2136822976">
              <w:marLeft w:val="0"/>
              <w:marRight w:val="0"/>
              <w:marTop w:val="0"/>
              <w:marBottom w:val="0"/>
              <w:divBdr>
                <w:top w:val="none" w:sz="0" w:space="0" w:color="auto"/>
                <w:left w:val="none" w:sz="0" w:space="0" w:color="auto"/>
                <w:bottom w:val="none" w:sz="0" w:space="0" w:color="auto"/>
                <w:right w:val="none" w:sz="0" w:space="0" w:color="auto"/>
              </w:divBdr>
              <w:divsChild>
                <w:div w:id="572205649">
                  <w:marLeft w:val="0"/>
                  <w:marRight w:val="0"/>
                  <w:marTop w:val="0"/>
                  <w:marBottom w:val="0"/>
                  <w:divBdr>
                    <w:top w:val="none" w:sz="0" w:space="0" w:color="auto"/>
                    <w:left w:val="none" w:sz="0" w:space="0" w:color="auto"/>
                    <w:bottom w:val="none" w:sz="0" w:space="0" w:color="auto"/>
                    <w:right w:val="none" w:sz="0" w:space="0" w:color="auto"/>
                  </w:divBdr>
                  <w:divsChild>
                    <w:div w:id="17880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46719">
      <w:bodyDiv w:val="1"/>
      <w:marLeft w:val="0"/>
      <w:marRight w:val="0"/>
      <w:marTop w:val="0"/>
      <w:marBottom w:val="0"/>
      <w:divBdr>
        <w:top w:val="none" w:sz="0" w:space="0" w:color="auto"/>
        <w:left w:val="none" w:sz="0" w:space="0" w:color="auto"/>
        <w:bottom w:val="none" w:sz="0" w:space="0" w:color="auto"/>
        <w:right w:val="none" w:sz="0" w:space="0" w:color="auto"/>
      </w:divBdr>
      <w:divsChild>
        <w:div w:id="1556161263">
          <w:marLeft w:val="0"/>
          <w:marRight w:val="0"/>
          <w:marTop w:val="0"/>
          <w:marBottom w:val="0"/>
          <w:divBdr>
            <w:top w:val="none" w:sz="0" w:space="0" w:color="auto"/>
            <w:left w:val="none" w:sz="0" w:space="0" w:color="auto"/>
            <w:bottom w:val="none" w:sz="0" w:space="0" w:color="auto"/>
            <w:right w:val="none" w:sz="0" w:space="0" w:color="auto"/>
          </w:divBdr>
        </w:div>
      </w:divsChild>
    </w:div>
    <w:div w:id="831142742">
      <w:bodyDiv w:val="1"/>
      <w:marLeft w:val="0"/>
      <w:marRight w:val="0"/>
      <w:marTop w:val="0"/>
      <w:marBottom w:val="0"/>
      <w:divBdr>
        <w:top w:val="none" w:sz="0" w:space="0" w:color="auto"/>
        <w:left w:val="none" w:sz="0" w:space="0" w:color="auto"/>
        <w:bottom w:val="none" w:sz="0" w:space="0" w:color="auto"/>
        <w:right w:val="none" w:sz="0" w:space="0" w:color="auto"/>
      </w:divBdr>
      <w:divsChild>
        <w:div w:id="1313829640">
          <w:marLeft w:val="0"/>
          <w:marRight w:val="0"/>
          <w:marTop w:val="0"/>
          <w:marBottom w:val="0"/>
          <w:divBdr>
            <w:top w:val="none" w:sz="0" w:space="0" w:color="auto"/>
            <w:left w:val="none" w:sz="0" w:space="0" w:color="auto"/>
            <w:bottom w:val="none" w:sz="0" w:space="0" w:color="auto"/>
            <w:right w:val="none" w:sz="0" w:space="0" w:color="auto"/>
          </w:divBdr>
          <w:divsChild>
            <w:div w:id="1974141070">
              <w:marLeft w:val="0"/>
              <w:marRight w:val="0"/>
              <w:marTop w:val="0"/>
              <w:marBottom w:val="0"/>
              <w:divBdr>
                <w:top w:val="none" w:sz="0" w:space="0" w:color="auto"/>
                <w:left w:val="none" w:sz="0" w:space="0" w:color="auto"/>
                <w:bottom w:val="none" w:sz="0" w:space="0" w:color="auto"/>
                <w:right w:val="none" w:sz="0" w:space="0" w:color="auto"/>
              </w:divBdr>
              <w:divsChild>
                <w:div w:id="2010064098">
                  <w:marLeft w:val="0"/>
                  <w:marRight w:val="0"/>
                  <w:marTop w:val="0"/>
                  <w:marBottom w:val="0"/>
                  <w:divBdr>
                    <w:top w:val="none" w:sz="0" w:space="0" w:color="auto"/>
                    <w:left w:val="none" w:sz="0" w:space="0" w:color="auto"/>
                    <w:bottom w:val="none" w:sz="0" w:space="0" w:color="auto"/>
                    <w:right w:val="none" w:sz="0" w:space="0" w:color="auto"/>
                  </w:divBdr>
                  <w:divsChild>
                    <w:div w:id="17354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1557">
      <w:bodyDiv w:val="1"/>
      <w:marLeft w:val="0"/>
      <w:marRight w:val="0"/>
      <w:marTop w:val="0"/>
      <w:marBottom w:val="0"/>
      <w:divBdr>
        <w:top w:val="none" w:sz="0" w:space="0" w:color="auto"/>
        <w:left w:val="none" w:sz="0" w:space="0" w:color="auto"/>
        <w:bottom w:val="none" w:sz="0" w:space="0" w:color="auto"/>
        <w:right w:val="none" w:sz="0" w:space="0" w:color="auto"/>
      </w:divBdr>
      <w:divsChild>
        <w:div w:id="1239362205">
          <w:marLeft w:val="0"/>
          <w:marRight w:val="0"/>
          <w:marTop w:val="0"/>
          <w:marBottom w:val="0"/>
          <w:divBdr>
            <w:top w:val="none" w:sz="0" w:space="0" w:color="auto"/>
            <w:left w:val="none" w:sz="0" w:space="0" w:color="auto"/>
            <w:bottom w:val="none" w:sz="0" w:space="0" w:color="auto"/>
            <w:right w:val="none" w:sz="0" w:space="0" w:color="auto"/>
          </w:divBdr>
        </w:div>
        <w:div w:id="1706363526">
          <w:marLeft w:val="0"/>
          <w:marRight w:val="0"/>
          <w:marTop w:val="0"/>
          <w:marBottom w:val="0"/>
          <w:divBdr>
            <w:top w:val="none" w:sz="0" w:space="0" w:color="auto"/>
            <w:left w:val="none" w:sz="0" w:space="0" w:color="auto"/>
            <w:bottom w:val="none" w:sz="0" w:space="0" w:color="auto"/>
            <w:right w:val="none" w:sz="0" w:space="0" w:color="auto"/>
          </w:divBdr>
        </w:div>
      </w:divsChild>
    </w:div>
    <w:div w:id="1111121150">
      <w:bodyDiv w:val="1"/>
      <w:marLeft w:val="0"/>
      <w:marRight w:val="0"/>
      <w:marTop w:val="0"/>
      <w:marBottom w:val="0"/>
      <w:divBdr>
        <w:top w:val="none" w:sz="0" w:space="0" w:color="auto"/>
        <w:left w:val="none" w:sz="0" w:space="0" w:color="auto"/>
        <w:bottom w:val="none" w:sz="0" w:space="0" w:color="auto"/>
        <w:right w:val="none" w:sz="0" w:space="0" w:color="auto"/>
      </w:divBdr>
    </w:div>
    <w:div w:id="1112551148">
      <w:bodyDiv w:val="1"/>
      <w:marLeft w:val="0"/>
      <w:marRight w:val="0"/>
      <w:marTop w:val="0"/>
      <w:marBottom w:val="0"/>
      <w:divBdr>
        <w:top w:val="none" w:sz="0" w:space="0" w:color="auto"/>
        <w:left w:val="none" w:sz="0" w:space="0" w:color="auto"/>
        <w:bottom w:val="none" w:sz="0" w:space="0" w:color="auto"/>
        <w:right w:val="none" w:sz="0" w:space="0" w:color="auto"/>
      </w:divBdr>
      <w:divsChild>
        <w:div w:id="671570645">
          <w:marLeft w:val="0"/>
          <w:marRight w:val="0"/>
          <w:marTop w:val="0"/>
          <w:marBottom w:val="0"/>
          <w:divBdr>
            <w:top w:val="none" w:sz="0" w:space="0" w:color="auto"/>
            <w:left w:val="none" w:sz="0" w:space="0" w:color="auto"/>
            <w:bottom w:val="none" w:sz="0" w:space="0" w:color="auto"/>
            <w:right w:val="none" w:sz="0" w:space="0" w:color="auto"/>
          </w:divBdr>
        </w:div>
      </w:divsChild>
    </w:div>
    <w:div w:id="1115250529">
      <w:bodyDiv w:val="1"/>
      <w:marLeft w:val="0"/>
      <w:marRight w:val="0"/>
      <w:marTop w:val="0"/>
      <w:marBottom w:val="0"/>
      <w:divBdr>
        <w:top w:val="none" w:sz="0" w:space="0" w:color="auto"/>
        <w:left w:val="none" w:sz="0" w:space="0" w:color="auto"/>
        <w:bottom w:val="none" w:sz="0" w:space="0" w:color="auto"/>
        <w:right w:val="none" w:sz="0" w:space="0" w:color="auto"/>
      </w:divBdr>
      <w:divsChild>
        <w:div w:id="429081119">
          <w:marLeft w:val="0"/>
          <w:marRight w:val="0"/>
          <w:marTop w:val="0"/>
          <w:marBottom w:val="0"/>
          <w:divBdr>
            <w:top w:val="none" w:sz="0" w:space="0" w:color="auto"/>
            <w:left w:val="none" w:sz="0" w:space="0" w:color="auto"/>
            <w:bottom w:val="none" w:sz="0" w:space="0" w:color="auto"/>
            <w:right w:val="none" w:sz="0" w:space="0" w:color="auto"/>
          </w:divBdr>
          <w:divsChild>
            <w:div w:id="211775613">
              <w:marLeft w:val="150"/>
              <w:marRight w:val="135"/>
              <w:marTop w:val="90"/>
              <w:marBottom w:val="75"/>
              <w:divBdr>
                <w:top w:val="none" w:sz="0" w:space="0" w:color="auto"/>
                <w:left w:val="none" w:sz="0" w:space="0" w:color="auto"/>
                <w:bottom w:val="none" w:sz="0" w:space="0" w:color="auto"/>
                <w:right w:val="none" w:sz="0" w:space="0" w:color="auto"/>
              </w:divBdr>
              <w:divsChild>
                <w:div w:id="629869546">
                  <w:marLeft w:val="0"/>
                  <w:marRight w:val="0"/>
                  <w:marTop w:val="0"/>
                  <w:marBottom w:val="0"/>
                  <w:divBdr>
                    <w:top w:val="none" w:sz="0" w:space="0" w:color="auto"/>
                    <w:left w:val="none" w:sz="0" w:space="0" w:color="auto"/>
                    <w:bottom w:val="none" w:sz="0" w:space="0" w:color="auto"/>
                    <w:right w:val="none" w:sz="0" w:space="0" w:color="auto"/>
                  </w:divBdr>
                  <w:divsChild>
                    <w:div w:id="722363737">
                      <w:marLeft w:val="0"/>
                      <w:marRight w:val="0"/>
                      <w:marTop w:val="0"/>
                      <w:marBottom w:val="0"/>
                      <w:divBdr>
                        <w:top w:val="none" w:sz="0" w:space="0" w:color="auto"/>
                        <w:left w:val="none" w:sz="0" w:space="0" w:color="auto"/>
                        <w:bottom w:val="none" w:sz="0" w:space="0" w:color="auto"/>
                        <w:right w:val="none" w:sz="0" w:space="0" w:color="auto"/>
                      </w:divBdr>
                      <w:divsChild>
                        <w:div w:id="3877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09522">
                  <w:marLeft w:val="0"/>
                  <w:marRight w:val="0"/>
                  <w:marTop w:val="0"/>
                  <w:marBottom w:val="0"/>
                  <w:divBdr>
                    <w:top w:val="none" w:sz="0" w:space="0" w:color="auto"/>
                    <w:left w:val="none" w:sz="0" w:space="0" w:color="auto"/>
                    <w:bottom w:val="none" w:sz="0" w:space="0" w:color="auto"/>
                    <w:right w:val="none" w:sz="0" w:space="0" w:color="auto"/>
                  </w:divBdr>
                  <w:divsChild>
                    <w:div w:id="939679905">
                      <w:marLeft w:val="0"/>
                      <w:marRight w:val="0"/>
                      <w:marTop w:val="0"/>
                      <w:marBottom w:val="0"/>
                      <w:divBdr>
                        <w:top w:val="none" w:sz="0" w:space="0" w:color="auto"/>
                        <w:left w:val="none" w:sz="0" w:space="0" w:color="auto"/>
                        <w:bottom w:val="none" w:sz="0" w:space="0" w:color="auto"/>
                        <w:right w:val="none" w:sz="0" w:space="0" w:color="auto"/>
                      </w:divBdr>
                      <w:divsChild>
                        <w:div w:id="146167001">
                          <w:marLeft w:val="0"/>
                          <w:marRight w:val="0"/>
                          <w:marTop w:val="0"/>
                          <w:marBottom w:val="0"/>
                          <w:divBdr>
                            <w:top w:val="none" w:sz="0" w:space="0" w:color="auto"/>
                            <w:left w:val="none" w:sz="0" w:space="0" w:color="auto"/>
                            <w:bottom w:val="none" w:sz="0" w:space="0" w:color="auto"/>
                            <w:right w:val="none" w:sz="0" w:space="0" w:color="auto"/>
                          </w:divBdr>
                        </w:div>
                      </w:divsChild>
                    </w:div>
                    <w:div w:id="1778669946">
                      <w:marLeft w:val="0"/>
                      <w:marRight w:val="0"/>
                      <w:marTop w:val="0"/>
                      <w:marBottom w:val="0"/>
                      <w:divBdr>
                        <w:top w:val="none" w:sz="0" w:space="0" w:color="auto"/>
                        <w:left w:val="none" w:sz="0" w:space="0" w:color="auto"/>
                        <w:bottom w:val="none" w:sz="0" w:space="0" w:color="auto"/>
                        <w:right w:val="none" w:sz="0" w:space="0" w:color="auto"/>
                      </w:divBdr>
                      <w:divsChild>
                        <w:div w:id="3377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28616">
          <w:marLeft w:val="0"/>
          <w:marRight w:val="0"/>
          <w:marTop w:val="0"/>
          <w:marBottom w:val="0"/>
          <w:divBdr>
            <w:top w:val="none" w:sz="0" w:space="0" w:color="auto"/>
            <w:left w:val="none" w:sz="0" w:space="0" w:color="auto"/>
            <w:bottom w:val="none" w:sz="0" w:space="0" w:color="auto"/>
            <w:right w:val="none" w:sz="0" w:space="0" w:color="auto"/>
          </w:divBdr>
          <w:divsChild>
            <w:div w:id="108355455">
              <w:marLeft w:val="150"/>
              <w:marRight w:val="135"/>
              <w:marTop w:val="90"/>
              <w:marBottom w:val="75"/>
              <w:divBdr>
                <w:top w:val="none" w:sz="0" w:space="0" w:color="auto"/>
                <w:left w:val="none" w:sz="0" w:space="0" w:color="auto"/>
                <w:bottom w:val="none" w:sz="0" w:space="0" w:color="auto"/>
                <w:right w:val="none" w:sz="0" w:space="0" w:color="auto"/>
              </w:divBdr>
              <w:divsChild>
                <w:div w:id="2076929008">
                  <w:marLeft w:val="0"/>
                  <w:marRight w:val="0"/>
                  <w:marTop w:val="0"/>
                  <w:marBottom w:val="0"/>
                  <w:divBdr>
                    <w:top w:val="none" w:sz="0" w:space="0" w:color="auto"/>
                    <w:left w:val="none" w:sz="0" w:space="0" w:color="auto"/>
                    <w:bottom w:val="none" w:sz="0" w:space="0" w:color="auto"/>
                    <w:right w:val="none" w:sz="0" w:space="0" w:color="auto"/>
                  </w:divBdr>
                  <w:divsChild>
                    <w:div w:id="1412656913">
                      <w:marLeft w:val="0"/>
                      <w:marRight w:val="0"/>
                      <w:marTop w:val="0"/>
                      <w:marBottom w:val="0"/>
                      <w:divBdr>
                        <w:top w:val="none" w:sz="0" w:space="0" w:color="auto"/>
                        <w:left w:val="none" w:sz="0" w:space="0" w:color="auto"/>
                        <w:bottom w:val="none" w:sz="0" w:space="0" w:color="auto"/>
                        <w:right w:val="none" w:sz="0" w:space="0" w:color="auto"/>
                      </w:divBdr>
                      <w:divsChild>
                        <w:div w:id="1459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0305">
          <w:marLeft w:val="0"/>
          <w:marRight w:val="0"/>
          <w:marTop w:val="0"/>
          <w:marBottom w:val="0"/>
          <w:divBdr>
            <w:top w:val="none" w:sz="0" w:space="0" w:color="auto"/>
            <w:left w:val="none" w:sz="0" w:space="0" w:color="auto"/>
            <w:bottom w:val="none" w:sz="0" w:space="0" w:color="auto"/>
            <w:right w:val="none" w:sz="0" w:space="0" w:color="auto"/>
          </w:divBdr>
          <w:divsChild>
            <w:div w:id="965813013">
              <w:marLeft w:val="150"/>
              <w:marRight w:val="135"/>
              <w:marTop w:val="90"/>
              <w:marBottom w:val="75"/>
              <w:divBdr>
                <w:top w:val="none" w:sz="0" w:space="0" w:color="auto"/>
                <w:left w:val="none" w:sz="0" w:space="0" w:color="auto"/>
                <w:bottom w:val="none" w:sz="0" w:space="0" w:color="auto"/>
                <w:right w:val="none" w:sz="0" w:space="0" w:color="auto"/>
              </w:divBdr>
              <w:divsChild>
                <w:div w:id="632029716">
                  <w:marLeft w:val="0"/>
                  <w:marRight w:val="0"/>
                  <w:marTop w:val="0"/>
                  <w:marBottom w:val="0"/>
                  <w:divBdr>
                    <w:top w:val="none" w:sz="0" w:space="0" w:color="auto"/>
                    <w:left w:val="none" w:sz="0" w:space="0" w:color="auto"/>
                    <w:bottom w:val="none" w:sz="0" w:space="0" w:color="auto"/>
                    <w:right w:val="none" w:sz="0" w:space="0" w:color="auto"/>
                  </w:divBdr>
                  <w:divsChild>
                    <w:div w:id="776561006">
                      <w:marLeft w:val="0"/>
                      <w:marRight w:val="0"/>
                      <w:marTop w:val="0"/>
                      <w:marBottom w:val="0"/>
                      <w:divBdr>
                        <w:top w:val="none" w:sz="0" w:space="0" w:color="auto"/>
                        <w:left w:val="none" w:sz="0" w:space="0" w:color="auto"/>
                        <w:bottom w:val="none" w:sz="0" w:space="0" w:color="auto"/>
                        <w:right w:val="none" w:sz="0" w:space="0" w:color="auto"/>
                      </w:divBdr>
                      <w:divsChild>
                        <w:div w:id="1616907713">
                          <w:marLeft w:val="0"/>
                          <w:marRight w:val="0"/>
                          <w:marTop w:val="0"/>
                          <w:marBottom w:val="0"/>
                          <w:divBdr>
                            <w:top w:val="none" w:sz="0" w:space="0" w:color="auto"/>
                            <w:left w:val="none" w:sz="0" w:space="0" w:color="auto"/>
                            <w:bottom w:val="none" w:sz="0" w:space="0" w:color="auto"/>
                            <w:right w:val="none" w:sz="0" w:space="0" w:color="auto"/>
                          </w:divBdr>
                        </w:div>
                      </w:divsChild>
                    </w:div>
                    <w:div w:id="1844127090">
                      <w:marLeft w:val="0"/>
                      <w:marRight w:val="0"/>
                      <w:marTop w:val="0"/>
                      <w:marBottom w:val="0"/>
                      <w:divBdr>
                        <w:top w:val="none" w:sz="0" w:space="0" w:color="auto"/>
                        <w:left w:val="none" w:sz="0" w:space="0" w:color="auto"/>
                        <w:bottom w:val="none" w:sz="0" w:space="0" w:color="auto"/>
                        <w:right w:val="none" w:sz="0" w:space="0" w:color="auto"/>
                      </w:divBdr>
                      <w:divsChild>
                        <w:div w:id="15285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52">
                  <w:marLeft w:val="0"/>
                  <w:marRight w:val="0"/>
                  <w:marTop w:val="0"/>
                  <w:marBottom w:val="0"/>
                  <w:divBdr>
                    <w:top w:val="none" w:sz="0" w:space="0" w:color="auto"/>
                    <w:left w:val="none" w:sz="0" w:space="0" w:color="auto"/>
                    <w:bottom w:val="none" w:sz="0" w:space="0" w:color="auto"/>
                    <w:right w:val="none" w:sz="0" w:space="0" w:color="auto"/>
                  </w:divBdr>
                  <w:divsChild>
                    <w:div w:id="773986382">
                      <w:marLeft w:val="0"/>
                      <w:marRight w:val="0"/>
                      <w:marTop w:val="0"/>
                      <w:marBottom w:val="0"/>
                      <w:divBdr>
                        <w:top w:val="none" w:sz="0" w:space="0" w:color="auto"/>
                        <w:left w:val="none" w:sz="0" w:space="0" w:color="auto"/>
                        <w:bottom w:val="none" w:sz="0" w:space="0" w:color="auto"/>
                        <w:right w:val="none" w:sz="0" w:space="0" w:color="auto"/>
                      </w:divBdr>
                      <w:divsChild>
                        <w:div w:id="130319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9506">
      <w:bodyDiv w:val="1"/>
      <w:marLeft w:val="0"/>
      <w:marRight w:val="0"/>
      <w:marTop w:val="0"/>
      <w:marBottom w:val="0"/>
      <w:divBdr>
        <w:top w:val="none" w:sz="0" w:space="0" w:color="auto"/>
        <w:left w:val="none" w:sz="0" w:space="0" w:color="auto"/>
        <w:bottom w:val="none" w:sz="0" w:space="0" w:color="auto"/>
        <w:right w:val="none" w:sz="0" w:space="0" w:color="auto"/>
      </w:divBdr>
      <w:divsChild>
        <w:div w:id="1183057375">
          <w:marLeft w:val="0"/>
          <w:marRight w:val="0"/>
          <w:marTop w:val="0"/>
          <w:marBottom w:val="0"/>
          <w:divBdr>
            <w:top w:val="none" w:sz="0" w:space="0" w:color="auto"/>
            <w:left w:val="none" w:sz="0" w:space="0" w:color="auto"/>
            <w:bottom w:val="none" w:sz="0" w:space="0" w:color="auto"/>
            <w:right w:val="none" w:sz="0" w:space="0" w:color="auto"/>
          </w:divBdr>
          <w:divsChild>
            <w:div w:id="1055935205">
              <w:marLeft w:val="150"/>
              <w:marRight w:val="135"/>
              <w:marTop w:val="90"/>
              <w:marBottom w:val="75"/>
              <w:divBdr>
                <w:top w:val="none" w:sz="0" w:space="0" w:color="auto"/>
                <w:left w:val="none" w:sz="0" w:space="0" w:color="auto"/>
                <w:bottom w:val="none" w:sz="0" w:space="0" w:color="auto"/>
                <w:right w:val="none" w:sz="0" w:space="0" w:color="auto"/>
              </w:divBdr>
              <w:divsChild>
                <w:div w:id="157893348">
                  <w:marLeft w:val="0"/>
                  <w:marRight w:val="0"/>
                  <w:marTop w:val="0"/>
                  <w:marBottom w:val="0"/>
                  <w:divBdr>
                    <w:top w:val="none" w:sz="0" w:space="0" w:color="auto"/>
                    <w:left w:val="none" w:sz="0" w:space="0" w:color="auto"/>
                    <w:bottom w:val="none" w:sz="0" w:space="0" w:color="auto"/>
                    <w:right w:val="none" w:sz="0" w:space="0" w:color="auto"/>
                  </w:divBdr>
                  <w:divsChild>
                    <w:div w:id="30419781">
                      <w:marLeft w:val="0"/>
                      <w:marRight w:val="0"/>
                      <w:marTop w:val="0"/>
                      <w:marBottom w:val="0"/>
                      <w:divBdr>
                        <w:top w:val="none" w:sz="0" w:space="0" w:color="auto"/>
                        <w:left w:val="none" w:sz="0" w:space="0" w:color="auto"/>
                        <w:bottom w:val="none" w:sz="0" w:space="0" w:color="auto"/>
                        <w:right w:val="none" w:sz="0" w:space="0" w:color="auto"/>
                      </w:divBdr>
                      <w:divsChild>
                        <w:div w:id="8627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427067">
          <w:marLeft w:val="0"/>
          <w:marRight w:val="0"/>
          <w:marTop w:val="0"/>
          <w:marBottom w:val="0"/>
          <w:divBdr>
            <w:top w:val="none" w:sz="0" w:space="0" w:color="auto"/>
            <w:left w:val="none" w:sz="0" w:space="0" w:color="auto"/>
            <w:bottom w:val="none" w:sz="0" w:space="0" w:color="auto"/>
            <w:right w:val="none" w:sz="0" w:space="0" w:color="auto"/>
          </w:divBdr>
          <w:divsChild>
            <w:div w:id="1310092642">
              <w:marLeft w:val="150"/>
              <w:marRight w:val="135"/>
              <w:marTop w:val="90"/>
              <w:marBottom w:val="75"/>
              <w:divBdr>
                <w:top w:val="none" w:sz="0" w:space="0" w:color="auto"/>
                <w:left w:val="none" w:sz="0" w:space="0" w:color="auto"/>
                <w:bottom w:val="none" w:sz="0" w:space="0" w:color="auto"/>
                <w:right w:val="none" w:sz="0" w:space="0" w:color="auto"/>
              </w:divBdr>
              <w:divsChild>
                <w:div w:id="139733585">
                  <w:marLeft w:val="0"/>
                  <w:marRight w:val="0"/>
                  <w:marTop w:val="0"/>
                  <w:marBottom w:val="0"/>
                  <w:divBdr>
                    <w:top w:val="none" w:sz="0" w:space="0" w:color="auto"/>
                    <w:left w:val="none" w:sz="0" w:space="0" w:color="auto"/>
                    <w:bottom w:val="none" w:sz="0" w:space="0" w:color="auto"/>
                    <w:right w:val="none" w:sz="0" w:space="0" w:color="auto"/>
                  </w:divBdr>
                  <w:divsChild>
                    <w:div w:id="818112049">
                      <w:marLeft w:val="0"/>
                      <w:marRight w:val="0"/>
                      <w:marTop w:val="0"/>
                      <w:marBottom w:val="0"/>
                      <w:divBdr>
                        <w:top w:val="none" w:sz="0" w:space="0" w:color="auto"/>
                        <w:left w:val="none" w:sz="0" w:space="0" w:color="auto"/>
                        <w:bottom w:val="none" w:sz="0" w:space="0" w:color="auto"/>
                        <w:right w:val="none" w:sz="0" w:space="0" w:color="auto"/>
                      </w:divBdr>
                      <w:divsChild>
                        <w:div w:id="1746488096">
                          <w:marLeft w:val="0"/>
                          <w:marRight w:val="0"/>
                          <w:marTop w:val="0"/>
                          <w:marBottom w:val="0"/>
                          <w:divBdr>
                            <w:top w:val="none" w:sz="0" w:space="0" w:color="auto"/>
                            <w:left w:val="none" w:sz="0" w:space="0" w:color="auto"/>
                            <w:bottom w:val="none" w:sz="0" w:space="0" w:color="auto"/>
                            <w:right w:val="none" w:sz="0" w:space="0" w:color="auto"/>
                          </w:divBdr>
                        </w:div>
                      </w:divsChild>
                    </w:div>
                    <w:div w:id="1996640711">
                      <w:marLeft w:val="0"/>
                      <w:marRight w:val="0"/>
                      <w:marTop w:val="0"/>
                      <w:marBottom w:val="0"/>
                      <w:divBdr>
                        <w:top w:val="none" w:sz="0" w:space="0" w:color="auto"/>
                        <w:left w:val="none" w:sz="0" w:space="0" w:color="auto"/>
                        <w:bottom w:val="none" w:sz="0" w:space="0" w:color="auto"/>
                        <w:right w:val="none" w:sz="0" w:space="0" w:color="auto"/>
                      </w:divBdr>
                      <w:divsChild>
                        <w:div w:id="11408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7870">
                  <w:marLeft w:val="0"/>
                  <w:marRight w:val="0"/>
                  <w:marTop w:val="0"/>
                  <w:marBottom w:val="0"/>
                  <w:divBdr>
                    <w:top w:val="none" w:sz="0" w:space="0" w:color="auto"/>
                    <w:left w:val="none" w:sz="0" w:space="0" w:color="auto"/>
                    <w:bottom w:val="none" w:sz="0" w:space="0" w:color="auto"/>
                    <w:right w:val="none" w:sz="0" w:space="0" w:color="auto"/>
                  </w:divBdr>
                  <w:divsChild>
                    <w:div w:id="1521240324">
                      <w:marLeft w:val="0"/>
                      <w:marRight w:val="0"/>
                      <w:marTop w:val="0"/>
                      <w:marBottom w:val="0"/>
                      <w:divBdr>
                        <w:top w:val="none" w:sz="0" w:space="0" w:color="auto"/>
                        <w:left w:val="none" w:sz="0" w:space="0" w:color="auto"/>
                        <w:bottom w:val="none" w:sz="0" w:space="0" w:color="auto"/>
                        <w:right w:val="none" w:sz="0" w:space="0" w:color="auto"/>
                      </w:divBdr>
                      <w:divsChild>
                        <w:div w:id="18685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75370">
          <w:marLeft w:val="0"/>
          <w:marRight w:val="0"/>
          <w:marTop w:val="0"/>
          <w:marBottom w:val="0"/>
          <w:divBdr>
            <w:top w:val="none" w:sz="0" w:space="0" w:color="auto"/>
            <w:left w:val="none" w:sz="0" w:space="0" w:color="auto"/>
            <w:bottom w:val="none" w:sz="0" w:space="0" w:color="auto"/>
            <w:right w:val="none" w:sz="0" w:space="0" w:color="auto"/>
          </w:divBdr>
          <w:divsChild>
            <w:div w:id="675764690">
              <w:marLeft w:val="150"/>
              <w:marRight w:val="135"/>
              <w:marTop w:val="90"/>
              <w:marBottom w:val="75"/>
              <w:divBdr>
                <w:top w:val="none" w:sz="0" w:space="0" w:color="auto"/>
                <w:left w:val="none" w:sz="0" w:space="0" w:color="auto"/>
                <w:bottom w:val="none" w:sz="0" w:space="0" w:color="auto"/>
                <w:right w:val="none" w:sz="0" w:space="0" w:color="auto"/>
              </w:divBdr>
              <w:divsChild>
                <w:div w:id="1169566998">
                  <w:marLeft w:val="0"/>
                  <w:marRight w:val="0"/>
                  <w:marTop w:val="0"/>
                  <w:marBottom w:val="0"/>
                  <w:divBdr>
                    <w:top w:val="none" w:sz="0" w:space="0" w:color="auto"/>
                    <w:left w:val="none" w:sz="0" w:space="0" w:color="auto"/>
                    <w:bottom w:val="none" w:sz="0" w:space="0" w:color="auto"/>
                    <w:right w:val="none" w:sz="0" w:space="0" w:color="auto"/>
                  </w:divBdr>
                  <w:divsChild>
                    <w:div w:id="787774084">
                      <w:marLeft w:val="0"/>
                      <w:marRight w:val="0"/>
                      <w:marTop w:val="0"/>
                      <w:marBottom w:val="0"/>
                      <w:divBdr>
                        <w:top w:val="none" w:sz="0" w:space="0" w:color="auto"/>
                        <w:left w:val="none" w:sz="0" w:space="0" w:color="auto"/>
                        <w:bottom w:val="none" w:sz="0" w:space="0" w:color="auto"/>
                        <w:right w:val="none" w:sz="0" w:space="0" w:color="auto"/>
                      </w:divBdr>
                      <w:divsChild>
                        <w:div w:id="20379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8272">
                  <w:marLeft w:val="0"/>
                  <w:marRight w:val="0"/>
                  <w:marTop w:val="0"/>
                  <w:marBottom w:val="0"/>
                  <w:divBdr>
                    <w:top w:val="none" w:sz="0" w:space="0" w:color="auto"/>
                    <w:left w:val="none" w:sz="0" w:space="0" w:color="auto"/>
                    <w:bottom w:val="none" w:sz="0" w:space="0" w:color="auto"/>
                    <w:right w:val="none" w:sz="0" w:space="0" w:color="auto"/>
                  </w:divBdr>
                  <w:divsChild>
                    <w:div w:id="464934840">
                      <w:marLeft w:val="0"/>
                      <w:marRight w:val="0"/>
                      <w:marTop w:val="0"/>
                      <w:marBottom w:val="0"/>
                      <w:divBdr>
                        <w:top w:val="none" w:sz="0" w:space="0" w:color="auto"/>
                        <w:left w:val="none" w:sz="0" w:space="0" w:color="auto"/>
                        <w:bottom w:val="none" w:sz="0" w:space="0" w:color="auto"/>
                        <w:right w:val="none" w:sz="0" w:space="0" w:color="auto"/>
                      </w:divBdr>
                      <w:divsChild>
                        <w:div w:id="357313329">
                          <w:marLeft w:val="0"/>
                          <w:marRight w:val="0"/>
                          <w:marTop w:val="0"/>
                          <w:marBottom w:val="0"/>
                          <w:divBdr>
                            <w:top w:val="none" w:sz="0" w:space="0" w:color="auto"/>
                            <w:left w:val="none" w:sz="0" w:space="0" w:color="auto"/>
                            <w:bottom w:val="none" w:sz="0" w:space="0" w:color="auto"/>
                            <w:right w:val="none" w:sz="0" w:space="0" w:color="auto"/>
                          </w:divBdr>
                        </w:div>
                      </w:divsChild>
                    </w:div>
                    <w:div w:id="720902963">
                      <w:marLeft w:val="0"/>
                      <w:marRight w:val="0"/>
                      <w:marTop w:val="0"/>
                      <w:marBottom w:val="0"/>
                      <w:divBdr>
                        <w:top w:val="none" w:sz="0" w:space="0" w:color="auto"/>
                        <w:left w:val="none" w:sz="0" w:space="0" w:color="auto"/>
                        <w:bottom w:val="none" w:sz="0" w:space="0" w:color="auto"/>
                        <w:right w:val="none" w:sz="0" w:space="0" w:color="auto"/>
                      </w:divBdr>
                      <w:divsChild>
                        <w:div w:id="7567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60029">
      <w:bodyDiv w:val="1"/>
      <w:marLeft w:val="0"/>
      <w:marRight w:val="0"/>
      <w:marTop w:val="0"/>
      <w:marBottom w:val="0"/>
      <w:divBdr>
        <w:top w:val="none" w:sz="0" w:space="0" w:color="auto"/>
        <w:left w:val="none" w:sz="0" w:space="0" w:color="auto"/>
        <w:bottom w:val="none" w:sz="0" w:space="0" w:color="auto"/>
        <w:right w:val="none" w:sz="0" w:space="0" w:color="auto"/>
      </w:divBdr>
    </w:div>
    <w:div w:id="1598752973">
      <w:bodyDiv w:val="1"/>
      <w:marLeft w:val="0"/>
      <w:marRight w:val="0"/>
      <w:marTop w:val="0"/>
      <w:marBottom w:val="0"/>
      <w:divBdr>
        <w:top w:val="none" w:sz="0" w:space="0" w:color="auto"/>
        <w:left w:val="none" w:sz="0" w:space="0" w:color="auto"/>
        <w:bottom w:val="none" w:sz="0" w:space="0" w:color="auto"/>
        <w:right w:val="none" w:sz="0" w:space="0" w:color="auto"/>
      </w:divBdr>
    </w:div>
    <w:div w:id="1602300902">
      <w:bodyDiv w:val="1"/>
      <w:marLeft w:val="0"/>
      <w:marRight w:val="0"/>
      <w:marTop w:val="0"/>
      <w:marBottom w:val="0"/>
      <w:divBdr>
        <w:top w:val="none" w:sz="0" w:space="0" w:color="auto"/>
        <w:left w:val="none" w:sz="0" w:space="0" w:color="auto"/>
        <w:bottom w:val="none" w:sz="0" w:space="0" w:color="auto"/>
        <w:right w:val="none" w:sz="0" w:space="0" w:color="auto"/>
      </w:divBdr>
    </w:div>
    <w:div w:id="1683051716">
      <w:bodyDiv w:val="1"/>
      <w:marLeft w:val="0"/>
      <w:marRight w:val="0"/>
      <w:marTop w:val="0"/>
      <w:marBottom w:val="0"/>
      <w:divBdr>
        <w:top w:val="none" w:sz="0" w:space="0" w:color="auto"/>
        <w:left w:val="none" w:sz="0" w:space="0" w:color="auto"/>
        <w:bottom w:val="none" w:sz="0" w:space="0" w:color="auto"/>
        <w:right w:val="none" w:sz="0" w:space="0" w:color="auto"/>
      </w:divBdr>
    </w:div>
    <w:div w:id="1769279021">
      <w:bodyDiv w:val="1"/>
      <w:marLeft w:val="0"/>
      <w:marRight w:val="0"/>
      <w:marTop w:val="0"/>
      <w:marBottom w:val="0"/>
      <w:divBdr>
        <w:top w:val="none" w:sz="0" w:space="0" w:color="auto"/>
        <w:left w:val="none" w:sz="0" w:space="0" w:color="auto"/>
        <w:bottom w:val="none" w:sz="0" w:space="0" w:color="auto"/>
        <w:right w:val="none" w:sz="0" w:space="0" w:color="auto"/>
      </w:divBdr>
      <w:divsChild>
        <w:div w:id="108864744">
          <w:marLeft w:val="0"/>
          <w:marRight w:val="0"/>
          <w:marTop w:val="0"/>
          <w:marBottom w:val="0"/>
          <w:divBdr>
            <w:top w:val="none" w:sz="0" w:space="0" w:color="auto"/>
            <w:left w:val="none" w:sz="0" w:space="0" w:color="auto"/>
            <w:bottom w:val="none" w:sz="0" w:space="0" w:color="auto"/>
            <w:right w:val="none" w:sz="0" w:space="0" w:color="auto"/>
          </w:divBdr>
          <w:divsChild>
            <w:div w:id="2098481034">
              <w:marLeft w:val="0"/>
              <w:marRight w:val="0"/>
              <w:marTop w:val="0"/>
              <w:marBottom w:val="0"/>
              <w:divBdr>
                <w:top w:val="none" w:sz="0" w:space="0" w:color="auto"/>
                <w:left w:val="none" w:sz="0" w:space="0" w:color="auto"/>
                <w:bottom w:val="none" w:sz="0" w:space="0" w:color="auto"/>
                <w:right w:val="none" w:sz="0" w:space="0" w:color="auto"/>
              </w:divBdr>
              <w:divsChild>
                <w:div w:id="804468316">
                  <w:marLeft w:val="0"/>
                  <w:marRight w:val="0"/>
                  <w:marTop w:val="0"/>
                  <w:marBottom w:val="0"/>
                  <w:divBdr>
                    <w:top w:val="none" w:sz="0" w:space="0" w:color="auto"/>
                    <w:left w:val="none" w:sz="0" w:space="0" w:color="auto"/>
                    <w:bottom w:val="none" w:sz="0" w:space="0" w:color="auto"/>
                    <w:right w:val="none" w:sz="0" w:space="0" w:color="auto"/>
                  </w:divBdr>
                  <w:divsChild>
                    <w:div w:id="7813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460180">
      <w:bodyDiv w:val="1"/>
      <w:marLeft w:val="0"/>
      <w:marRight w:val="0"/>
      <w:marTop w:val="0"/>
      <w:marBottom w:val="0"/>
      <w:divBdr>
        <w:top w:val="none" w:sz="0" w:space="0" w:color="auto"/>
        <w:left w:val="none" w:sz="0" w:space="0" w:color="auto"/>
        <w:bottom w:val="none" w:sz="0" w:space="0" w:color="auto"/>
        <w:right w:val="none" w:sz="0" w:space="0" w:color="auto"/>
      </w:divBdr>
      <w:divsChild>
        <w:div w:id="807167139">
          <w:marLeft w:val="0"/>
          <w:marRight w:val="0"/>
          <w:marTop w:val="0"/>
          <w:marBottom w:val="0"/>
          <w:divBdr>
            <w:top w:val="none" w:sz="0" w:space="0" w:color="auto"/>
            <w:left w:val="none" w:sz="0" w:space="0" w:color="auto"/>
            <w:bottom w:val="none" w:sz="0" w:space="0" w:color="auto"/>
            <w:right w:val="none" w:sz="0" w:space="0" w:color="auto"/>
          </w:divBdr>
          <w:divsChild>
            <w:div w:id="290673054">
              <w:marLeft w:val="0"/>
              <w:marRight w:val="0"/>
              <w:marTop w:val="0"/>
              <w:marBottom w:val="0"/>
              <w:divBdr>
                <w:top w:val="none" w:sz="0" w:space="0" w:color="auto"/>
                <w:left w:val="none" w:sz="0" w:space="0" w:color="auto"/>
                <w:bottom w:val="none" w:sz="0" w:space="0" w:color="auto"/>
                <w:right w:val="none" w:sz="0" w:space="0" w:color="auto"/>
              </w:divBdr>
              <w:divsChild>
                <w:div w:id="1649702233">
                  <w:marLeft w:val="0"/>
                  <w:marRight w:val="0"/>
                  <w:marTop w:val="0"/>
                  <w:marBottom w:val="0"/>
                  <w:divBdr>
                    <w:top w:val="none" w:sz="0" w:space="0" w:color="auto"/>
                    <w:left w:val="none" w:sz="0" w:space="0" w:color="auto"/>
                    <w:bottom w:val="none" w:sz="0" w:space="0" w:color="auto"/>
                    <w:right w:val="none" w:sz="0" w:space="0" w:color="auto"/>
                  </w:divBdr>
                  <w:divsChild>
                    <w:div w:id="5866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4146">
      <w:bodyDiv w:val="1"/>
      <w:marLeft w:val="0"/>
      <w:marRight w:val="0"/>
      <w:marTop w:val="0"/>
      <w:marBottom w:val="0"/>
      <w:divBdr>
        <w:top w:val="none" w:sz="0" w:space="0" w:color="auto"/>
        <w:left w:val="none" w:sz="0" w:space="0" w:color="auto"/>
        <w:bottom w:val="none" w:sz="0" w:space="0" w:color="auto"/>
        <w:right w:val="none" w:sz="0" w:space="0" w:color="auto"/>
      </w:divBdr>
    </w:div>
    <w:div w:id="2074038720">
      <w:bodyDiv w:val="1"/>
      <w:marLeft w:val="0"/>
      <w:marRight w:val="0"/>
      <w:marTop w:val="0"/>
      <w:marBottom w:val="0"/>
      <w:divBdr>
        <w:top w:val="none" w:sz="0" w:space="0" w:color="auto"/>
        <w:left w:val="none" w:sz="0" w:space="0" w:color="auto"/>
        <w:bottom w:val="none" w:sz="0" w:space="0" w:color="auto"/>
        <w:right w:val="none" w:sz="0" w:space="0" w:color="auto"/>
      </w:divBdr>
      <w:divsChild>
        <w:div w:id="5894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59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29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34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529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313722">
      <w:bodyDiv w:val="1"/>
      <w:marLeft w:val="0"/>
      <w:marRight w:val="0"/>
      <w:marTop w:val="0"/>
      <w:marBottom w:val="0"/>
      <w:divBdr>
        <w:top w:val="none" w:sz="0" w:space="0" w:color="auto"/>
        <w:left w:val="none" w:sz="0" w:space="0" w:color="auto"/>
        <w:bottom w:val="none" w:sz="0" w:space="0" w:color="auto"/>
        <w:right w:val="none" w:sz="0" w:space="0" w:color="auto"/>
      </w:divBdr>
      <w:divsChild>
        <w:div w:id="1005086537">
          <w:marLeft w:val="0"/>
          <w:marRight w:val="0"/>
          <w:marTop w:val="0"/>
          <w:marBottom w:val="0"/>
          <w:divBdr>
            <w:top w:val="none" w:sz="0" w:space="0" w:color="auto"/>
            <w:left w:val="none" w:sz="0" w:space="0" w:color="auto"/>
            <w:bottom w:val="none" w:sz="0" w:space="0" w:color="auto"/>
            <w:right w:val="none" w:sz="0" w:space="0" w:color="auto"/>
          </w:divBdr>
          <w:divsChild>
            <w:div w:id="866875098">
              <w:marLeft w:val="0"/>
              <w:marRight w:val="0"/>
              <w:marTop w:val="0"/>
              <w:marBottom w:val="0"/>
              <w:divBdr>
                <w:top w:val="none" w:sz="0" w:space="0" w:color="auto"/>
                <w:left w:val="none" w:sz="0" w:space="0" w:color="auto"/>
                <w:bottom w:val="none" w:sz="0" w:space="0" w:color="auto"/>
                <w:right w:val="none" w:sz="0" w:space="0" w:color="auto"/>
              </w:divBdr>
              <w:divsChild>
                <w:div w:id="1935091596">
                  <w:marLeft w:val="0"/>
                  <w:marRight w:val="0"/>
                  <w:marTop w:val="0"/>
                  <w:marBottom w:val="0"/>
                  <w:divBdr>
                    <w:top w:val="none" w:sz="0" w:space="0" w:color="auto"/>
                    <w:left w:val="none" w:sz="0" w:space="0" w:color="auto"/>
                    <w:bottom w:val="none" w:sz="0" w:space="0" w:color="auto"/>
                    <w:right w:val="none" w:sz="0" w:space="0" w:color="auto"/>
                  </w:divBdr>
                  <w:divsChild>
                    <w:div w:id="6701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564251">
      <w:bodyDiv w:val="1"/>
      <w:marLeft w:val="0"/>
      <w:marRight w:val="0"/>
      <w:marTop w:val="0"/>
      <w:marBottom w:val="0"/>
      <w:divBdr>
        <w:top w:val="none" w:sz="0" w:space="0" w:color="auto"/>
        <w:left w:val="none" w:sz="0" w:space="0" w:color="auto"/>
        <w:bottom w:val="none" w:sz="0" w:space="0" w:color="auto"/>
        <w:right w:val="none" w:sz="0" w:space="0" w:color="auto"/>
      </w:divBdr>
    </w:div>
    <w:div w:id="2133815486">
      <w:bodyDiv w:val="1"/>
      <w:marLeft w:val="0"/>
      <w:marRight w:val="0"/>
      <w:marTop w:val="0"/>
      <w:marBottom w:val="0"/>
      <w:divBdr>
        <w:top w:val="none" w:sz="0" w:space="0" w:color="auto"/>
        <w:left w:val="none" w:sz="0" w:space="0" w:color="auto"/>
        <w:bottom w:val="none" w:sz="0" w:space="0" w:color="auto"/>
        <w:right w:val="none" w:sz="0" w:space="0" w:color="auto"/>
      </w:divBdr>
    </w:div>
    <w:div w:id="2137748842">
      <w:bodyDiv w:val="1"/>
      <w:marLeft w:val="0"/>
      <w:marRight w:val="0"/>
      <w:marTop w:val="0"/>
      <w:marBottom w:val="0"/>
      <w:divBdr>
        <w:top w:val="none" w:sz="0" w:space="0" w:color="auto"/>
        <w:left w:val="none" w:sz="0" w:space="0" w:color="auto"/>
        <w:bottom w:val="none" w:sz="0" w:space="0" w:color="auto"/>
        <w:right w:val="none" w:sz="0" w:space="0" w:color="auto"/>
      </w:divBdr>
      <w:divsChild>
        <w:div w:id="518349697">
          <w:marLeft w:val="0"/>
          <w:marRight w:val="0"/>
          <w:marTop w:val="0"/>
          <w:marBottom w:val="0"/>
          <w:divBdr>
            <w:top w:val="none" w:sz="0" w:space="0" w:color="auto"/>
            <w:left w:val="none" w:sz="0" w:space="0" w:color="auto"/>
            <w:bottom w:val="none" w:sz="0" w:space="0" w:color="auto"/>
            <w:right w:val="none" w:sz="0" w:space="0" w:color="auto"/>
          </w:divBdr>
          <w:divsChild>
            <w:div w:id="198666838">
              <w:marLeft w:val="150"/>
              <w:marRight w:val="135"/>
              <w:marTop w:val="90"/>
              <w:marBottom w:val="75"/>
              <w:divBdr>
                <w:top w:val="none" w:sz="0" w:space="0" w:color="auto"/>
                <w:left w:val="none" w:sz="0" w:space="0" w:color="auto"/>
                <w:bottom w:val="none" w:sz="0" w:space="0" w:color="auto"/>
                <w:right w:val="none" w:sz="0" w:space="0" w:color="auto"/>
              </w:divBdr>
              <w:divsChild>
                <w:div w:id="1068380430">
                  <w:marLeft w:val="0"/>
                  <w:marRight w:val="0"/>
                  <w:marTop w:val="0"/>
                  <w:marBottom w:val="0"/>
                  <w:divBdr>
                    <w:top w:val="none" w:sz="0" w:space="0" w:color="auto"/>
                    <w:left w:val="none" w:sz="0" w:space="0" w:color="auto"/>
                    <w:bottom w:val="none" w:sz="0" w:space="0" w:color="auto"/>
                    <w:right w:val="none" w:sz="0" w:space="0" w:color="auto"/>
                  </w:divBdr>
                  <w:divsChild>
                    <w:div w:id="1596746311">
                      <w:marLeft w:val="0"/>
                      <w:marRight w:val="0"/>
                      <w:marTop w:val="0"/>
                      <w:marBottom w:val="0"/>
                      <w:divBdr>
                        <w:top w:val="none" w:sz="0" w:space="0" w:color="auto"/>
                        <w:left w:val="none" w:sz="0" w:space="0" w:color="auto"/>
                        <w:bottom w:val="none" w:sz="0" w:space="0" w:color="auto"/>
                        <w:right w:val="none" w:sz="0" w:space="0" w:color="auto"/>
                      </w:divBdr>
                      <w:divsChild>
                        <w:div w:id="10085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28000">
      <w:bodyDiv w:val="1"/>
      <w:marLeft w:val="0"/>
      <w:marRight w:val="0"/>
      <w:marTop w:val="0"/>
      <w:marBottom w:val="0"/>
      <w:divBdr>
        <w:top w:val="none" w:sz="0" w:space="0" w:color="auto"/>
        <w:left w:val="none" w:sz="0" w:space="0" w:color="auto"/>
        <w:bottom w:val="none" w:sz="0" w:space="0" w:color="auto"/>
        <w:right w:val="none" w:sz="0" w:space="0" w:color="auto"/>
      </w:divBdr>
      <w:divsChild>
        <w:div w:id="246621485">
          <w:marLeft w:val="0"/>
          <w:marRight w:val="0"/>
          <w:marTop w:val="0"/>
          <w:marBottom w:val="0"/>
          <w:divBdr>
            <w:top w:val="none" w:sz="0" w:space="0" w:color="auto"/>
            <w:left w:val="none" w:sz="0" w:space="0" w:color="auto"/>
            <w:bottom w:val="none" w:sz="0" w:space="0" w:color="auto"/>
            <w:right w:val="none" w:sz="0" w:space="0" w:color="auto"/>
          </w:divBdr>
          <w:divsChild>
            <w:div w:id="1109741367">
              <w:marLeft w:val="150"/>
              <w:marRight w:val="135"/>
              <w:marTop w:val="90"/>
              <w:marBottom w:val="75"/>
              <w:divBdr>
                <w:top w:val="none" w:sz="0" w:space="0" w:color="auto"/>
                <w:left w:val="none" w:sz="0" w:space="0" w:color="auto"/>
                <w:bottom w:val="none" w:sz="0" w:space="0" w:color="auto"/>
                <w:right w:val="none" w:sz="0" w:space="0" w:color="auto"/>
              </w:divBdr>
              <w:divsChild>
                <w:div w:id="727270263">
                  <w:marLeft w:val="0"/>
                  <w:marRight w:val="0"/>
                  <w:marTop w:val="0"/>
                  <w:marBottom w:val="0"/>
                  <w:divBdr>
                    <w:top w:val="none" w:sz="0" w:space="0" w:color="auto"/>
                    <w:left w:val="none" w:sz="0" w:space="0" w:color="auto"/>
                    <w:bottom w:val="none" w:sz="0" w:space="0" w:color="auto"/>
                    <w:right w:val="none" w:sz="0" w:space="0" w:color="auto"/>
                  </w:divBdr>
                  <w:divsChild>
                    <w:div w:id="2132476662">
                      <w:marLeft w:val="0"/>
                      <w:marRight w:val="0"/>
                      <w:marTop w:val="0"/>
                      <w:marBottom w:val="0"/>
                      <w:divBdr>
                        <w:top w:val="none" w:sz="0" w:space="0" w:color="auto"/>
                        <w:left w:val="none" w:sz="0" w:space="0" w:color="auto"/>
                        <w:bottom w:val="none" w:sz="0" w:space="0" w:color="auto"/>
                        <w:right w:val="none" w:sz="0" w:space="0" w:color="auto"/>
                      </w:divBdr>
                      <w:divsChild>
                        <w:div w:id="7033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11338">
                  <w:marLeft w:val="0"/>
                  <w:marRight w:val="0"/>
                  <w:marTop w:val="0"/>
                  <w:marBottom w:val="0"/>
                  <w:divBdr>
                    <w:top w:val="none" w:sz="0" w:space="0" w:color="auto"/>
                    <w:left w:val="none" w:sz="0" w:space="0" w:color="auto"/>
                    <w:bottom w:val="none" w:sz="0" w:space="0" w:color="auto"/>
                    <w:right w:val="none" w:sz="0" w:space="0" w:color="auto"/>
                  </w:divBdr>
                  <w:divsChild>
                    <w:div w:id="1686978165">
                      <w:marLeft w:val="0"/>
                      <w:marRight w:val="0"/>
                      <w:marTop w:val="0"/>
                      <w:marBottom w:val="0"/>
                      <w:divBdr>
                        <w:top w:val="none" w:sz="0" w:space="0" w:color="auto"/>
                        <w:left w:val="none" w:sz="0" w:space="0" w:color="auto"/>
                        <w:bottom w:val="none" w:sz="0" w:space="0" w:color="auto"/>
                        <w:right w:val="none" w:sz="0" w:space="0" w:color="auto"/>
                      </w:divBdr>
                      <w:divsChild>
                        <w:div w:id="1738017785">
                          <w:marLeft w:val="0"/>
                          <w:marRight w:val="0"/>
                          <w:marTop w:val="0"/>
                          <w:marBottom w:val="0"/>
                          <w:divBdr>
                            <w:top w:val="none" w:sz="0" w:space="0" w:color="auto"/>
                            <w:left w:val="none" w:sz="0" w:space="0" w:color="auto"/>
                            <w:bottom w:val="none" w:sz="0" w:space="0" w:color="auto"/>
                            <w:right w:val="none" w:sz="0" w:space="0" w:color="auto"/>
                          </w:divBdr>
                        </w:div>
                      </w:divsChild>
                    </w:div>
                    <w:div w:id="1794405363">
                      <w:marLeft w:val="0"/>
                      <w:marRight w:val="0"/>
                      <w:marTop w:val="0"/>
                      <w:marBottom w:val="0"/>
                      <w:divBdr>
                        <w:top w:val="none" w:sz="0" w:space="0" w:color="auto"/>
                        <w:left w:val="none" w:sz="0" w:space="0" w:color="auto"/>
                        <w:bottom w:val="none" w:sz="0" w:space="0" w:color="auto"/>
                        <w:right w:val="none" w:sz="0" w:space="0" w:color="auto"/>
                      </w:divBdr>
                      <w:divsChild>
                        <w:div w:id="10414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53616">
          <w:marLeft w:val="0"/>
          <w:marRight w:val="0"/>
          <w:marTop w:val="0"/>
          <w:marBottom w:val="0"/>
          <w:divBdr>
            <w:top w:val="none" w:sz="0" w:space="0" w:color="auto"/>
            <w:left w:val="none" w:sz="0" w:space="0" w:color="auto"/>
            <w:bottom w:val="none" w:sz="0" w:space="0" w:color="auto"/>
            <w:right w:val="none" w:sz="0" w:space="0" w:color="auto"/>
          </w:divBdr>
          <w:divsChild>
            <w:div w:id="762992103">
              <w:marLeft w:val="150"/>
              <w:marRight w:val="135"/>
              <w:marTop w:val="90"/>
              <w:marBottom w:val="75"/>
              <w:divBdr>
                <w:top w:val="none" w:sz="0" w:space="0" w:color="auto"/>
                <w:left w:val="none" w:sz="0" w:space="0" w:color="auto"/>
                <w:bottom w:val="none" w:sz="0" w:space="0" w:color="auto"/>
                <w:right w:val="none" w:sz="0" w:space="0" w:color="auto"/>
              </w:divBdr>
              <w:divsChild>
                <w:div w:id="1561940178">
                  <w:marLeft w:val="0"/>
                  <w:marRight w:val="0"/>
                  <w:marTop w:val="0"/>
                  <w:marBottom w:val="0"/>
                  <w:divBdr>
                    <w:top w:val="none" w:sz="0" w:space="0" w:color="auto"/>
                    <w:left w:val="none" w:sz="0" w:space="0" w:color="auto"/>
                    <w:bottom w:val="none" w:sz="0" w:space="0" w:color="auto"/>
                    <w:right w:val="none" w:sz="0" w:space="0" w:color="auto"/>
                  </w:divBdr>
                  <w:divsChild>
                    <w:div w:id="1159034083">
                      <w:marLeft w:val="0"/>
                      <w:marRight w:val="0"/>
                      <w:marTop w:val="0"/>
                      <w:marBottom w:val="0"/>
                      <w:divBdr>
                        <w:top w:val="none" w:sz="0" w:space="0" w:color="auto"/>
                        <w:left w:val="none" w:sz="0" w:space="0" w:color="auto"/>
                        <w:bottom w:val="none" w:sz="0" w:space="0" w:color="auto"/>
                        <w:right w:val="none" w:sz="0" w:space="0" w:color="auto"/>
                      </w:divBdr>
                      <w:divsChild>
                        <w:div w:id="1645551089">
                          <w:marLeft w:val="0"/>
                          <w:marRight w:val="0"/>
                          <w:marTop w:val="0"/>
                          <w:marBottom w:val="0"/>
                          <w:divBdr>
                            <w:top w:val="none" w:sz="0" w:space="0" w:color="auto"/>
                            <w:left w:val="none" w:sz="0" w:space="0" w:color="auto"/>
                            <w:bottom w:val="none" w:sz="0" w:space="0" w:color="auto"/>
                            <w:right w:val="none" w:sz="0" w:space="0" w:color="auto"/>
                          </w:divBdr>
                        </w:div>
                      </w:divsChild>
                    </w:div>
                    <w:div w:id="2066945869">
                      <w:marLeft w:val="0"/>
                      <w:marRight w:val="0"/>
                      <w:marTop w:val="0"/>
                      <w:marBottom w:val="0"/>
                      <w:divBdr>
                        <w:top w:val="none" w:sz="0" w:space="0" w:color="auto"/>
                        <w:left w:val="none" w:sz="0" w:space="0" w:color="auto"/>
                        <w:bottom w:val="none" w:sz="0" w:space="0" w:color="auto"/>
                        <w:right w:val="none" w:sz="0" w:space="0" w:color="auto"/>
                      </w:divBdr>
                      <w:divsChild>
                        <w:div w:id="12185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5669">
          <w:marLeft w:val="0"/>
          <w:marRight w:val="0"/>
          <w:marTop w:val="0"/>
          <w:marBottom w:val="0"/>
          <w:divBdr>
            <w:top w:val="none" w:sz="0" w:space="0" w:color="auto"/>
            <w:left w:val="none" w:sz="0" w:space="0" w:color="auto"/>
            <w:bottom w:val="none" w:sz="0" w:space="0" w:color="auto"/>
            <w:right w:val="none" w:sz="0" w:space="0" w:color="auto"/>
          </w:divBdr>
          <w:divsChild>
            <w:div w:id="909312882">
              <w:marLeft w:val="150"/>
              <w:marRight w:val="135"/>
              <w:marTop w:val="90"/>
              <w:marBottom w:val="75"/>
              <w:divBdr>
                <w:top w:val="none" w:sz="0" w:space="0" w:color="auto"/>
                <w:left w:val="none" w:sz="0" w:space="0" w:color="auto"/>
                <w:bottom w:val="none" w:sz="0" w:space="0" w:color="auto"/>
                <w:right w:val="none" w:sz="0" w:space="0" w:color="auto"/>
              </w:divBdr>
              <w:divsChild>
                <w:div w:id="153187411">
                  <w:marLeft w:val="0"/>
                  <w:marRight w:val="0"/>
                  <w:marTop w:val="0"/>
                  <w:marBottom w:val="0"/>
                  <w:divBdr>
                    <w:top w:val="none" w:sz="0" w:space="0" w:color="auto"/>
                    <w:left w:val="none" w:sz="0" w:space="0" w:color="auto"/>
                    <w:bottom w:val="none" w:sz="0" w:space="0" w:color="auto"/>
                    <w:right w:val="none" w:sz="0" w:space="0" w:color="auto"/>
                  </w:divBdr>
                  <w:divsChild>
                    <w:div w:id="1231648283">
                      <w:marLeft w:val="0"/>
                      <w:marRight w:val="0"/>
                      <w:marTop w:val="0"/>
                      <w:marBottom w:val="0"/>
                      <w:divBdr>
                        <w:top w:val="none" w:sz="0" w:space="0" w:color="auto"/>
                        <w:left w:val="none" w:sz="0" w:space="0" w:color="auto"/>
                        <w:bottom w:val="none" w:sz="0" w:space="0" w:color="auto"/>
                        <w:right w:val="none" w:sz="0" w:space="0" w:color="auto"/>
                      </w:divBdr>
                      <w:divsChild>
                        <w:div w:id="16868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41049">
                  <w:marLeft w:val="0"/>
                  <w:marRight w:val="0"/>
                  <w:marTop w:val="0"/>
                  <w:marBottom w:val="0"/>
                  <w:divBdr>
                    <w:top w:val="none" w:sz="0" w:space="0" w:color="auto"/>
                    <w:left w:val="none" w:sz="0" w:space="0" w:color="auto"/>
                    <w:bottom w:val="none" w:sz="0" w:space="0" w:color="auto"/>
                    <w:right w:val="none" w:sz="0" w:space="0" w:color="auto"/>
                  </w:divBdr>
                  <w:divsChild>
                    <w:div w:id="1235312652">
                      <w:marLeft w:val="0"/>
                      <w:marRight w:val="0"/>
                      <w:marTop w:val="0"/>
                      <w:marBottom w:val="0"/>
                      <w:divBdr>
                        <w:top w:val="none" w:sz="0" w:space="0" w:color="auto"/>
                        <w:left w:val="none" w:sz="0" w:space="0" w:color="auto"/>
                        <w:bottom w:val="none" w:sz="0" w:space="0" w:color="auto"/>
                        <w:right w:val="none" w:sz="0" w:space="0" w:color="auto"/>
                      </w:divBdr>
                      <w:divsChild>
                        <w:div w:id="1179929887">
                          <w:marLeft w:val="0"/>
                          <w:marRight w:val="0"/>
                          <w:marTop w:val="0"/>
                          <w:marBottom w:val="0"/>
                          <w:divBdr>
                            <w:top w:val="none" w:sz="0" w:space="0" w:color="auto"/>
                            <w:left w:val="none" w:sz="0" w:space="0" w:color="auto"/>
                            <w:bottom w:val="none" w:sz="0" w:space="0" w:color="auto"/>
                            <w:right w:val="none" w:sz="0" w:space="0" w:color="auto"/>
                          </w:divBdr>
                        </w:div>
                      </w:divsChild>
                    </w:div>
                    <w:div w:id="1604342402">
                      <w:marLeft w:val="0"/>
                      <w:marRight w:val="0"/>
                      <w:marTop w:val="0"/>
                      <w:marBottom w:val="0"/>
                      <w:divBdr>
                        <w:top w:val="none" w:sz="0" w:space="0" w:color="auto"/>
                        <w:left w:val="none" w:sz="0" w:space="0" w:color="auto"/>
                        <w:bottom w:val="none" w:sz="0" w:space="0" w:color="auto"/>
                        <w:right w:val="none" w:sz="0" w:space="0" w:color="auto"/>
                      </w:divBdr>
                      <w:divsChild>
                        <w:div w:id="10936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75381">
          <w:marLeft w:val="0"/>
          <w:marRight w:val="0"/>
          <w:marTop w:val="0"/>
          <w:marBottom w:val="0"/>
          <w:divBdr>
            <w:top w:val="none" w:sz="0" w:space="0" w:color="auto"/>
            <w:left w:val="none" w:sz="0" w:space="0" w:color="auto"/>
            <w:bottom w:val="none" w:sz="0" w:space="0" w:color="auto"/>
            <w:right w:val="none" w:sz="0" w:space="0" w:color="auto"/>
          </w:divBdr>
          <w:divsChild>
            <w:div w:id="424112842">
              <w:marLeft w:val="150"/>
              <w:marRight w:val="135"/>
              <w:marTop w:val="90"/>
              <w:marBottom w:val="75"/>
              <w:divBdr>
                <w:top w:val="none" w:sz="0" w:space="0" w:color="auto"/>
                <w:left w:val="none" w:sz="0" w:space="0" w:color="auto"/>
                <w:bottom w:val="none" w:sz="0" w:space="0" w:color="auto"/>
                <w:right w:val="none" w:sz="0" w:space="0" w:color="auto"/>
              </w:divBdr>
              <w:divsChild>
                <w:div w:id="443311294">
                  <w:marLeft w:val="0"/>
                  <w:marRight w:val="0"/>
                  <w:marTop w:val="0"/>
                  <w:marBottom w:val="0"/>
                  <w:divBdr>
                    <w:top w:val="none" w:sz="0" w:space="0" w:color="auto"/>
                    <w:left w:val="none" w:sz="0" w:space="0" w:color="auto"/>
                    <w:bottom w:val="none" w:sz="0" w:space="0" w:color="auto"/>
                    <w:right w:val="none" w:sz="0" w:space="0" w:color="auto"/>
                  </w:divBdr>
                  <w:divsChild>
                    <w:div w:id="1507860059">
                      <w:marLeft w:val="0"/>
                      <w:marRight w:val="0"/>
                      <w:marTop w:val="0"/>
                      <w:marBottom w:val="0"/>
                      <w:divBdr>
                        <w:top w:val="none" w:sz="0" w:space="0" w:color="auto"/>
                        <w:left w:val="none" w:sz="0" w:space="0" w:color="auto"/>
                        <w:bottom w:val="none" w:sz="0" w:space="0" w:color="auto"/>
                        <w:right w:val="none" w:sz="0" w:space="0" w:color="auto"/>
                      </w:divBdr>
                      <w:divsChild>
                        <w:div w:id="724111013">
                          <w:marLeft w:val="0"/>
                          <w:marRight w:val="0"/>
                          <w:marTop w:val="0"/>
                          <w:marBottom w:val="0"/>
                          <w:divBdr>
                            <w:top w:val="none" w:sz="0" w:space="0" w:color="auto"/>
                            <w:left w:val="none" w:sz="0" w:space="0" w:color="auto"/>
                            <w:bottom w:val="none" w:sz="0" w:space="0" w:color="auto"/>
                            <w:right w:val="none" w:sz="0" w:space="0" w:color="auto"/>
                          </w:divBdr>
                        </w:div>
                      </w:divsChild>
                    </w:div>
                    <w:div w:id="2022926701">
                      <w:marLeft w:val="0"/>
                      <w:marRight w:val="0"/>
                      <w:marTop w:val="0"/>
                      <w:marBottom w:val="0"/>
                      <w:divBdr>
                        <w:top w:val="none" w:sz="0" w:space="0" w:color="auto"/>
                        <w:left w:val="none" w:sz="0" w:space="0" w:color="auto"/>
                        <w:bottom w:val="none" w:sz="0" w:space="0" w:color="auto"/>
                        <w:right w:val="none" w:sz="0" w:space="0" w:color="auto"/>
                      </w:divBdr>
                      <w:divsChild>
                        <w:div w:id="4434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3583">
                  <w:marLeft w:val="0"/>
                  <w:marRight w:val="0"/>
                  <w:marTop w:val="0"/>
                  <w:marBottom w:val="0"/>
                  <w:divBdr>
                    <w:top w:val="none" w:sz="0" w:space="0" w:color="auto"/>
                    <w:left w:val="none" w:sz="0" w:space="0" w:color="auto"/>
                    <w:bottom w:val="none" w:sz="0" w:space="0" w:color="auto"/>
                    <w:right w:val="none" w:sz="0" w:space="0" w:color="auto"/>
                  </w:divBdr>
                  <w:divsChild>
                    <w:div w:id="242840269">
                      <w:marLeft w:val="0"/>
                      <w:marRight w:val="0"/>
                      <w:marTop w:val="0"/>
                      <w:marBottom w:val="0"/>
                      <w:divBdr>
                        <w:top w:val="none" w:sz="0" w:space="0" w:color="auto"/>
                        <w:left w:val="none" w:sz="0" w:space="0" w:color="auto"/>
                        <w:bottom w:val="none" w:sz="0" w:space="0" w:color="auto"/>
                        <w:right w:val="none" w:sz="0" w:space="0" w:color="auto"/>
                      </w:divBdr>
                      <w:divsChild>
                        <w:div w:id="16664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42520">
          <w:marLeft w:val="0"/>
          <w:marRight w:val="0"/>
          <w:marTop w:val="0"/>
          <w:marBottom w:val="0"/>
          <w:divBdr>
            <w:top w:val="none" w:sz="0" w:space="0" w:color="auto"/>
            <w:left w:val="none" w:sz="0" w:space="0" w:color="auto"/>
            <w:bottom w:val="none" w:sz="0" w:space="0" w:color="auto"/>
            <w:right w:val="none" w:sz="0" w:space="0" w:color="auto"/>
          </w:divBdr>
          <w:divsChild>
            <w:div w:id="1662462024">
              <w:marLeft w:val="150"/>
              <w:marRight w:val="135"/>
              <w:marTop w:val="90"/>
              <w:marBottom w:val="75"/>
              <w:divBdr>
                <w:top w:val="none" w:sz="0" w:space="0" w:color="auto"/>
                <w:left w:val="none" w:sz="0" w:space="0" w:color="auto"/>
                <w:bottom w:val="none" w:sz="0" w:space="0" w:color="auto"/>
                <w:right w:val="none" w:sz="0" w:space="0" w:color="auto"/>
              </w:divBdr>
              <w:divsChild>
                <w:div w:id="388111258">
                  <w:marLeft w:val="0"/>
                  <w:marRight w:val="0"/>
                  <w:marTop w:val="0"/>
                  <w:marBottom w:val="0"/>
                  <w:divBdr>
                    <w:top w:val="none" w:sz="0" w:space="0" w:color="auto"/>
                    <w:left w:val="none" w:sz="0" w:space="0" w:color="auto"/>
                    <w:bottom w:val="none" w:sz="0" w:space="0" w:color="auto"/>
                    <w:right w:val="none" w:sz="0" w:space="0" w:color="auto"/>
                  </w:divBdr>
                  <w:divsChild>
                    <w:div w:id="1213620745">
                      <w:marLeft w:val="0"/>
                      <w:marRight w:val="0"/>
                      <w:marTop w:val="0"/>
                      <w:marBottom w:val="0"/>
                      <w:divBdr>
                        <w:top w:val="none" w:sz="0" w:space="0" w:color="auto"/>
                        <w:left w:val="none" w:sz="0" w:space="0" w:color="auto"/>
                        <w:bottom w:val="none" w:sz="0" w:space="0" w:color="auto"/>
                        <w:right w:val="none" w:sz="0" w:space="0" w:color="auto"/>
                      </w:divBdr>
                      <w:divsChild>
                        <w:div w:id="6023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9152">
                  <w:marLeft w:val="0"/>
                  <w:marRight w:val="0"/>
                  <w:marTop w:val="0"/>
                  <w:marBottom w:val="0"/>
                  <w:divBdr>
                    <w:top w:val="none" w:sz="0" w:space="0" w:color="auto"/>
                    <w:left w:val="none" w:sz="0" w:space="0" w:color="auto"/>
                    <w:bottom w:val="none" w:sz="0" w:space="0" w:color="auto"/>
                    <w:right w:val="none" w:sz="0" w:space="0" w:color="auto"/>
                  </w:divBdr>
                  <w:divsChild>
                    <w:div w:id="771314302">
                      <w:marLeft w:val="0"/>
                      <w:marRight w:val="0"/>
                      <w:marTop w:val="0"/>
                      <w:marBottom w:val="0"/>
                      <w:divBdr>
                        <w:top w:val="none" w:sz="0" w:space="0" w:color="auto"/>
                        <w:left w:val="none" w:sz="0" w:space="0" w:color="auto"/>
                        <w:bottom w:val="none" w:sz="0" w:space="0" w:color="auto"/>
                        <w:right w:val="none" w:sz="0" w:space="0" w:color="auto"/>
                      </w:divBdr>
                      <w:divsChild>
                        <w:div w:id="1736925235">
                          <w:marLeft w:val="0"/>
                          <w:marRight w:val="0"/>
                          <w:marTop w:val="0"/>
                          <w:marBottom w:val="0"/>
                          <w:divBdr>
                            <w:top w:val="none" w:sz="0" w:space="0" w:color="auto"/>
                            <w:left w:val="none" w:sz="0" w:space="0" w:color="auto"/>
                            <w:bottom w:val="none" w:sz="0" w:space="0" w:color="auto"/>
                            <w:right w:val="none" w:sz="0" w:space="0" w:color="auto"/>
                          </w:divBdr>
                        </w:div>
                      </w:divsChild>
                    </w:div>
                    <w:div w:id="943079604">
                      <w:marLeft w:val="0"/>
                      <w:marRight w:val="0"/>
                      <w:marTop w:val="0"/>
                      <w:marBottom w:val="0"/>
                      <w:divBdr>
                        <w:top w:val="none" w:sz="0" w:space="0" w:color="auto"/>
                        <w:left w:val="none" w:sz="0" w:space="0" w:color="auto"/>
                        <w:bottom w:val="none" w:sz="0" w:space="0" w:color="auto"/>
                        <w:right w:val="none" w:sz="0" w:space="0" w:color="auto"/>
                      </w:divBdr>
                      <w:divsChild>
                        <w:div w:id="1969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05531">
          <w:marLeft w:val="0"/>
          <w:marRight w:val="0"/>
          <w:marTop w:val="0"/>
          <w:marBottom w:val="0"/>
          <w:divBdr>
            <w:top w:val="none" w:sz="0" w:space="0" w:color="auto"/>
            <w:left w:val="none" w:sz="0" w:space="0" w:color="auto"/>
            <w:bottom w:val="none" w:sz="0" w:space="0" w:color="auto"/>
            <w:right w:val="none" w:sz="0" w:space="0" w:color="auto"/>
          </w:divBdr>
          <w:divsChild>
            <w:div w:id="1394043137">
              <w:marLeft w:val="150"/>
              <w:marRight w:val="135"/>
              <w:marTop w:val="90"/>
              <w:marBottom w:val="75"/>
              <w:divBdr>
                <w:top w:val="none" w:sz="0" w:space="0" w:color="auto"/>
                <w:left w:val="none" w:sz="0" w:space="0" w:color="auto"/>
                <w:bottom w:val="none" w:sz="0" w:space="0" w:color="auto"/>
                <w:right w:val="none" w:sz="0" w:space="0" w:color="auto"/>
              </w:divBdr>
              <w:divsChild>
                <w:div w:id="587544722">
                  <w:marLeft w:val="0"/>
                  <w:marRight w:val="0"/>
                  <w:marTop w:val="0"/>
                  <w:marBottom w:val="0"/>
                  <w:divBdr>
                    <w:top w:val="none" w:sz="0" w:space="0" w:color="auto"/>
                    <w:left w:val="none" w:sz="0" w:space="0" w:color="auto"/>
                    <w:bottom w:val="none" w:sz="0" w:space="0" w:color="auto"/>
                    <w:right w:val="none" w:sz="0" w:space="0" w:color="auto"/>
                  </w:divBdr>
                  <w:divsChild>
                    <w:div w:id="724526979">
                      <w:marLeft w:val="0"/>
                      <w:marRight w:val="0"/>
                      <w:marTop w:val="0"/>
                      <w:marBottom w:val="0"/>
                      <w:divBdr>
                        <w:top w:val="none" w:sz="0" w:space="0" w:color="auto"/>
                        <w:left w:val="none" w:sz="0" w:space="0" w:color="auto"/>
                        <w:bottom w:val="none" w:sz="0" w:space="0" w:color="auto"/>
                        <w:right w:val="none" w:sz="0" w:space="0" w:color="auto"/>
                      </w:divBdr>
                      <w:divsChild>
                        <w:div w:id="20992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716">
                  <w:marLeft w:val="0"/>
                  <w:marRight w:val="0"/>
                  <w:marTop w:val="0"/>
                  <w:marBottom w:val="0"/>
                  <w:divBdr>
                    <w:top w:val="none" w:sz="0" w:space="0" w:color="auto"/>
                    <w:left w:val="none" w:sz="0" w:space="0" w:color="auto"/>
                    <w:bottom w:val="none" w:sz="0" w:space="0" w:color="auto"/>
                    <w:right w:val="none" w:sz="0" w:space="0" w:color="auto"/>
                  </w:divBdr>
                  <w:divsChild>
                    <w:div w:id="1320496801">
                      <w:marLeft w:val="0"/>
                      <w:marRight w:val="0"/>
                      <w:marTop w:val="0"/>
                      <w:marBottom w:val="0"/>
                      <w:divBdr>
                        <w:top w:val="none" w:sz="0" w:space="0" w:color="auto"/>
                        <w:left w:val="none" w:sz="0" w:space="0" w:color="auto"/>
                        <w:bottom w:val="none" w:sz="0" w:space="0" w:color="auto"/>
                        <w:right w:val="none" w:sz="0" w:space="0" w:color="auto"/>
                      </w:divBdr>
                      <w:divsChild>
                        <w:div w:id="1384017383">
                          <w:marLeft w:val="0"/>
                          <w:marRight w:val="0"/>
                          <w:marTop w:val="0"/>
                          <w:marBottom w:val="0"/>
                          <w:divBdr>
                            <w:top w:val="none" w:sz="0" w:space="0" w:color="auto"/>
                            <w:left w:val="none" w:sz="0" w:space="0" w:color="auto"/>
                            <w:bottom w:val="none" w:sz="0" w:space="0" w:color="auto"/>
                            <w:right w:val="none" w:sz="0" w:space="0" w:color="auto"/>
                          </w:divBdr>
                        </w:div>
                      </w:divsChild>
                    </w:div>
                    <w:div w:id="1930650196">
                      <w:marLeft w:val="0"/>
                      <w:marRight w:val="0"/>
                      <w:marTop w:val="0"/>
                      <w:marBottom w:val="0"/>
                      <w:divBdr>
                        <w:top w:val="none" w:sz="0" w:space="0" w:color="auto"/>
                        <w:left w:val="none" w:sz="0" w:space="0" w:color="auto"/>
                        <w:bottom w:val="none" w:sz="0" w:space="0" w:color="auto"/>
                        <w:right w:val="none" w:sz="0" w:space="0" w:color="auto"/>
                      </w:divBdr>
                      <w:divsChild>
                        <w:div w:id="1772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69060">
          <w:marLeft w:val="0"/>
          <w:marRight w:val="0"/>
          <w:marTop w:val="0"/>
          <w:marBottom w:val="0"/>
          <w:divBdr>
            <w:top w:val="none" w:sz="0" w:space="0" w:color="auto"/>
            <w:left w:val="none" w:sz="0" w:space="0" w:color="auto"/>
            <w:bottom w:val="none" w:sz="0" w:space="0" w:color="auto"/>
            <w:right w:val="none" w:sz="0" w:space="0" w:color="auto"/>
          </w:divBdr>
          <w:divsChild>
            <w:div w:id="123620103">
              <w:marLeft w:val="150"/>
              <w:marRight w:val="135"/>
              <w:marTop w:val="90"/>
              <w:marBottom w:val="75"/>
              <w:divBdr>
                <w:top w:val="none" w:sz="0" w:space="0" w:color="auto"/>
                <w:left w:val="none" w:sz="0" w:space="0" w:color="auto"/>
                <w:bottom w:val="none" w:sz="0" w:space="0" w:color="auto"/>
                <w:right w:val="none" w:sz="0" w:space="0" w:color="auto"/>
              </w:divBdr>
              <w:divsChild>
                <w:div w:id="89014278">
                  <w:marLeft w:val="0"/>
                  <w:marRight w:val="0"/>
                  <w:marTop w:val="0"/>
                  <w:marBottom w:val="0"/>
                  <w:divBdr>
                    <w:top w:val="none" w:sz="0" w:space="0" w:color="auto"/>
                    <w:left w:val="none" w:sz="0" w:space="0" w:color="auto"/>
                    <w:bottom w:val="none" w:sz="0" w:space="0" w:color="auto"/>
                    <w:right w:val="none" w:sz="0" w:space="0" w:color="auto"/>
                  </w:divBdr>
                  <w:divsChild>
                    <w:div w:id="166336864">
                      <w:marLeft w:val="0"/>
                      <w:marRight w:val="0"/>
                      <w:marTop w:val="0"/>
                      <w:marBottom w:val="0"/>
                      <w:divBdr>
                        <w:top w:val="none" w:sz="0" w:space="0" w:color="auto"/>
                        <w:left w:val="none" w:sz="0" w:space="0" w:color="auto"/>
                        <w:bottom w:val="none" w:sz="0" w:space="0" w:color="auto"/>
                        <w:right w:val="none" w:sz="0" w:space="0" w:color="auto"/>
                      </w:divBdr>
                      <w:divsChild>
                        <w:div w:id="1336767620">
                          <w:marLeft w:val="0"/>
                          <w:marRight w:val="0"/>
                          <w:marTop w:val="0"/>
                          <w:marBottom w:val="0"/>
                          <w:divBdr>
                            <w:top w:val="none" w:sz="0" w:space="0" w:color="auto"/>
                            <w:left w:val="none" w:sz="0" w:space="0" w:color="auto"/>
                            <w:bottom w:val="none" w:sz="0" w:space="0" w:color="auto"/>
                            <w:right w:val="none" w:sz="0" w:space="0" w:color="auto"/>
                          </w:divBdr>
                        </w:div>
                      </w:divsChild>
                    </w:div>
                    <w:div w:id="589848139">
                      <w:marLeft w:val="0"/>
                      <w:marRight w:val="0"/>
                      <w:marTop w:val="0"/>
                      <w:marBottom w:val="0"/>
                      <w:divBdr>
                        <w:top w:val="none" w:sz="0" w:space="0" w:color="auto"/>
                        <w:left w:val="none" w:sz="0" w:space="0" w:color="auto"/>
                        <w:bottom w:val="none" w:sz="0" w:space="0" w:color="auto"/>
                        <w:right w:val="none" w:sz="0" w:space="0" w:color="auto"/>
                      </w:divBdr>
                      <w:divsChild>
                        <w:div w:id="327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4474">
                  <w:marLeft w:val="0"/>
                  <w:marRight w:val="0"/>
                  <w:marTop w:val="0"/>
                  <w:marBottom w:val="0"/>
                  <w:divBdr>
                    <w:top w:val="none" w:sz="0" w:space="0" w:color="auto"/>
                    <w:left w:val="none" w:sz="0" w:space="0" w:color="auto"/>
                    <w:bottom w:val="none" w:sz="0" w:space="0" w:color="auto"/>
                    <w:right w:val="none" w:sz="0" w:space="0" w:color="auto"/>
                  </w:divBdr>
                  <w:divsChild>
                    <w:div w:id="1194153137">
                      <w:marLeft w:val="0"/>
                      <w:marRight w:val="0"/>
                      <w:marTop w:val="0"/>
                      <w:marBottom w:val="0"/>
                      <w:divBdr>
                        <w:top w:val="none" w:sz="0" w:space="0" w:color="auto"/>
                        <w:left w:val="none" w:sz="0" w:space="0" w:color="auto"/>
                        <w:bottom w:val="none" w:sz="0" w:space="0" w:color="auto"/>
                        <w:right w:val="none" w:sz="0" w:space="0" w:color="auto"/>
                      </w:divBdr>
                      <w:divsChild>
                        <w:div w:id="820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ncik@energytraderseurop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laf\OneDrive\Desktop\NEW%20Energy%20Traders%20Europe%20Templates\240505%20Template%20Consultation%20Response.dotx" TargetMode="External"/></Relationships>
</file>

<file path=word/theme/theme1.xml><?xml version="1.0" encoding="utf-8"?>
<a:theme xmlns:a="http://schemas.openxmlformats.org/drawingml/2006/main" name="Office Theme">
  <a:themeElements>
    <a:clrScheme name="ETE">
      <a:dk1>
        <a:srgbClr val="000000"/>
      </a:dk1>
      <a:lt1>
        <a:srgbClr val="FFFFFF"/>
      </a:lt1>
      <a:dk2>
        <a:srgbClr val="3C405C"/>
      </a:dk2>
      <a:lt2>
        <a:srgbClr val="E7E6E6"/>
      </a:lt2>
      <a:accent1>
        <a:srgbClr val="CC141C"/>
      </a:accent1>
      <a:accent2>
        <a:srgbClr val="1EA5DD"/>
      </a:accent2>
      <a:accent3>
        <a:srgbClr val="F28F1A"/>
      </a:accent3>
      <a:accent4>
        <a:srgbClr val="3C405C"/>
      </a:accent4>
      <a:accent5>
        <a:srgbClr val="8059AB"/>
      </a:accent5>
      <a:accent6>
        <a:srgbClr val="CCB8ED"/>
      </a:accent6>
      <a:hlink>
        <a:srgbClr val="24599B"/>
      </a:hlink>
      <a:folHlink>
        <a:srgbClr val="24599B"/>
      </a:folHlink>
    </a:clrScheme>
    <a:fontScheme name="Arial">
      <a:majorFont>
        <a:latin typeface="Proxima Nova Bold"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Proxima Nova"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e1d767-2c6d-4a60-9f9b-39869eb76eb5">
      <Terms xmlns="http://schemas.microsoft.com/office/infopath/2007/PartnerControls"/>
    </lcf76f155ced4ddcb4097134ff3c332f>
    <TaxCatchAll xmlns="9b67b9c4-42b2-4457-9277-040dbc3c40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8D82AEB3FDB043968D2B2007D4E595" ma:contentTypeVersion="12" ma:contentTypeDescription="Create a new document." ma:contentTypeScope="" ma:versionID="cd1f626007fc2d1bc58464f95fba7938">
  <xsd:schema xmlns:xsd="http://www.w3.org/2001/XMLSchema" xmlns:xs="http://www.w3.org/2001/XMLSchema" xmlns:p="http://schemas.microsoft.com/office/2006/metadata/properties" xmlns:ns2="a3e1d767-2c6d-4a60-9f9b-39869eb76eb5" xmlns:ns3="9b67b9c4-42b2-4457-9277-040dbc3c40eb" targetNamespace="http://schemas.microsoft.com/office/2006/metadata/properties" ma:root="true" ma:fieldsID="8bca4c429c56fc992005e7e8917464d0" ns2:_="" ns3:_="">
    <xsd:import namespace="a3e1d767-2c6d-4a60-9f9b-39869eb76eb5"/>
    <xsd:import namespace="9b67b9c4-42b2-4457-9277-040dbc3c40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d767-2c6d-4a60-9f9b-39869eb76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d639ec-2a62-4f10-a200-6ef7b85c83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7b9c4-42b2-4457-9277-040dbc3c40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ef1fa7-26ae-49ca-91a9-9441c9dcf4f8}" ma:internalName="TaxCatchAll" ma:showField="CatchAllData" ma:web="9b67b9c4-42b2-4457-9277-040dbc3c40e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5CAA1-9AD1-40BD-BD3F-DA42C3EB2482}">
  <ds:schemaRefs>
    <ds:schemaRef ds:uri="http://schemas.microsoft.com/office/2006/metadata/properties"/>
    <ds:schemaRef ds:uri="http://schemas.microsoft.com/office/infopath/2007/PartnerControls"/>
    <ds:schemaRef ds:uri="a3e1d767-2c6d-4a60-9f9b-39869eb76eb5"/>
    <ds:schemaRef ds:uri="9b67b9c4-42b2-4457-9277-040dbc3c40eb"/>
  </ds:schemaRefs>
</ds:datastoreItem>
</file>

<file path=customXml/itemProps2.xml><?xml version="1.0" encoding="utf-8"?>
<ds:datastoreItem xmlns:ds="http://schemas.openxmlformats.org/officeDocument/2006/customXml" ds:itemID="{A88A08E9-71B7-4C1E-B3AC-79D78EDACEB5}">
  <ds:schemaRefs>
    <ds:schemaRef ds:uri="http://schemas.openxmlformats.org/officeDocument/2006/bibliography"/>
  </ds:schemaRefs>
</ds:datastoreItem>
</file>

<file path=customXml/itemProps3.xml><?xml version="1.0" encoding="utf-8"?>
<ds:datastoreItem xmlns:ds="http://schemas.openxmlformats.org/officeDocument/2006/customXml" ds:itemID="{8D85FA01-A85F-47FB-84B4-BB62AD65C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d767-2c6d-4a60-9f9b-39869eb76eb5"/>
    <ds:schemaRef ds:uri="9b67b9c4-42b2-4457-9277-040dbc3c4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4E711-4325-4525-82D4-C4CB82CEB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C:\Users\lclaf\OneDrive\Desktop\NEW Energy Traders Europe Templates\240505 Template Consultation Response.dotx</Template>
  <TotalTime>0</TotalTime>
  <Pages>6</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11841</CharactersWithSpaces>
  <SharedDoc>false</SharedDoc>
  <HyperlinkBase/>
  <HLinks>
    <vt:vector size="6" baseType="variant">
      <vt:variant>
        <vt:i4>655469</vt:i4>
      </vt:variant>
      <vt:variant>
        <vt:i4>0</vt:i4>
      </vt:variant>
      <vt:variant>
        <vt:i4>0</vt:i4>
      </vt:variant>
      <vt:variant>
        <vt:i4>5</vt:i4>
      </vt:variant>
      <vt:variant>
        <vt:lpwstr>mailto:a.stancik@energytraderseurope.org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lclaf</dc:creator>
  <cp:keywords/>
  <dc:description/>
  <cp:lastModifiedBy>Andrej Stancik</cp:lastModifiedBy>
  <cp:revision>2</cp:revision>
  <dcterms:created xsi:type="dcterms:W3CDTF">2026-05-14T07:16:00Z</dcterms:created>
  <dcterms:modified xsi:type="dcterms:W3CDTF">2026-05-14T07:16:00Z</dcterms:modified>
  <cp:category/>
</cp:coreProperties>
</file>