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A4D87" w14:textId="77777777" w:rsidR="004D0239" w:rsidRDefault="002C0965">
      <w:pPr>
        <w:pStyle w:val="Body3"/>
        <w:ind w:left="0"/>
        <w:rPr>
          <w:rFonts w:ascii="Times New Roman" w:hAnsi="Times New Roman"/>
          <w:b/>
          <w:caps/>
          <w:sz w:val="20"/>
        </w:rPr>
      </w:pPr>
      <w:r>
        <w:rPr>
          <w:rFonts w:ascii="Times New Roman" w:hAnsi="Times New Roman"/>
          <w:b/>
          <w:caps/>
          <w:sz w:val="20"/>
        </w:rPr>
        <w:t xml:space="preserve">Waiver: The following standard wording was prepared by EFET's Members exercising all reasonable care. However, EFET, the EFET Members, representatives and counsel involved in its preparation and approval shall not be liable or otherwise responsible for its use and any damages or losses resulting out of its use in any individual case and in whatever jurisdiction. It is therefore the responsibility of each party wishing to use this standard wording to ensure that its terms and conditions are legally binding, valid and enforceable and best served to protect the user's legal interest. Users of this standard wording are urged to consult the relevant guidance notes made available through EFET as well as legal opinion by their own counsel.  </w:t>
      </w:r>
    </w:p>
    <w:p w14:paraId="436D3CCA" w14:textId="77777777" w:rsidR="004D0239" w:rsidRDefault="004D0239">
      <w:pPr>
        <w:pStyle w:val="Body3"/>
        <w:ind w:left="0"/>
        <w:rPr>
          <w:rFonts w:ascii="Times New Roman" w:hAnsi="Times New Roman"/>
          <w:b/>
          <w:caps/>
          <w:sz w:val="20"/>
          <w:u w:val="single"/>
        </w:rPr>
      </w:pPr>
    </w:p>
    <w:p w14:paraId="50C1D7E4" w14:textId="77777777" w:rsidR="004D0239" w:rsidRDefault="002C0965">
      <w:pPr>
        <w:pStyle w:val="Body3"/>
        <w:ind w:left="0"/>
        <w:jc w:val="center"/>
        <w:rPr>
          <w:rFonts w:ascii="Times New Roman" w:hAnsi="Times New Roman"/>
          <w:b/>
          <w:sz w:val="20"/>
          <w:u w:val="single"/>
        </w:rPr>
      </w:pPr>
      <w:r>
        <w:rPr>
          <w:rFonts w:ascii="Times New Roman" w:hAnsi="Times New Roman"/>
          <w:b/>
          <w:sz w:val="20"/>
          <w:u w:val="single"/>
        </w:rPr>
        <w:t>EFET ELECTRICITY TRADE RESTRICTION CLAUSE</w:t>
      </w:r>
    </w:p>
    <w:p w14:paraId="37841CBF" w14:textId="77777777" w:rsidR="004D0239" w:rsidRDefault="002C0965">
      <w:pPr>
        <w:pStyle w:val="Body3"/>
        <w:ind w:left="0"/>
        <w:rPr>
          <w:rFonts w:ascii="Times New Roman" w:hAnsi="Times New Roman"/>
          <w:sz w:val="20"/>
        </w:rPr>
      </w:pPr>
      <w:r>
        <w:rPr>
          <w:rFonts w:ascii="Times New Roman" w:hAnsi="Times New Roman"/>
          <w:sz w:val="20"/>
        </w:rPr>
        <w:t>The General Agreement is amended by the addition of a new clause § 7(a) (</w:t>
      </w:r>
      <w:r>
        <w:rPr>
          <w:rFonts w:ascii="Times New Roman" w:hAnsi="Times New Roman"/>
          <w:b/>
          <w:i/>
          <w:sz w:val="20"/>
        </w:rPr>
        <w:t>Non-Performance Due to Trade Restriction</w:t>
      </w:r>
      <w:r>
        <w:rPr>
          <w:rFonts w:ascii="Times New Roman" w:hAnsi="Times New Roman"/>
          <w:sz w:val="20"/>
        </w:rPr>
        <w:t>), as follows:</w:t>
      </w:r>
    </w:p>
    <w:p w14:paraId="624F99D6" w14:textId="77777777" w:rsidR="004D0239" w:rsidRDefault="002C0965">
      <w:pPr>
        <w:pStyle w:val="Body3"/>
        <w:ind w:left="0"/>
        <w:jc w:val="center"/>
        <w:rPr>
          <w:rFonts w:ascii="Times New Roman" w:hAnsi="Times New Roman"/>
          <w:b/>
          <w:i/>
          <w:sz w:val="20"/>
        </w:rPr>
      </w:pPr>
      <w:r>
        <w:rPr>
          <w:rFonts w:ascii="Times New Roman" w:hAnsi="Times New Roman"/>
          <w:b/>
          <w:i/>
          <w:sz w:val="20"/>
        </w:rPr>
        <w:t>§ 7(a)</w:t>
      </w:r>
    </w:p>
    <w:p w14:paraId="22CD8767" w14:textId="77777777" w:rsidR="004D0239" w:rsidRDefault="002C0965">
      <w:pPr>
        <w:pStyle w:val="Body3"/>
        <w:ind w:left="0"/>
        <w:jc w:val="center"/>
        <w:rPr>
          <w:sz w:val="20"/>
        </w:rPr>
      </w:pPr>
      <w:r>
        <w:rPr>
          <w:rFonts w:ascii="Times New Roman" w:hAnsi="Times New Roman"/>
          <w:b/>
          <w:sz w:val="20"/>
          <w:u w:val="single"/>
        </w:rPr>
        <w:t>Non-Performance Due to Trade Restriction</w:t>
      </w:r>
    </w:p>
    <w:p w14:paraId="41D03A08" w14:textId="77777777" w:rsidR="004D0239" w:rsidRDefault="002C0965">
      <w:pPr>
        <w:pStyle w:val="Body3"/>
        <w:ind w:left="0"/>
        <w:rPr>
          <w:rFonts w:ascii="Times New Roman" w:hAnsi="Times New Roman"/>
          <w:b/>
          <w:sz w:val="20"/>
        </w:rPr>
      </w:pPr>
      <w:r>
        <w:rPr>
          <w:rFonts w:ascii="Times New Roman" w:hAnsi="Times New Roman"/>
          <w:b/>
          <w:sz w:val="20"/>
        </w:rPr>
        <w:t>1.</w:t>
      </w:r>
      <w:r>
        <w:rPr>
          <w:rFonts w:ascii="Times New Roman" w:hAnsi="Times New Roman"/>
          <w:sz w:val="20"/>
        </w:rPr>
        <w:tab/>
      </w:r>
      <w:r>
        <w:rPr>
          <w:rFonts w:ascii="Times New Roman" w:hAnsi="Times New Roman"/>
          <w:b/>
          <w:sz w:val="20"/>
        </w:rPr>
        <w:t>Definition of Trade Restriction:</w:t>
      </w:r>
      <w:r>
        <w:rPr>
          <w:rFonts w:ascii="Times New Roman" w:hAnsi="Times New Roman"/>
          <w:sz w:val="20"/>
        </w:rPr>
        <w:t xml:space="preserve">  For purposes of the Agreement, "</w:t>
      </w:r>
      <w:r>
        <w:rPr>
          <w:rFonts w:ascii="Times New Roman" w:hAnsi="Times New Roman"/>
          <w:b/>
          <w:sz w:val="20"/>
        </w:rPr>
        <w:t>Trade Restriction</w:t>
      </w:r>
      <w:r>
        <w:rPr>
          <w:rFonts w:ascii="Times New Roman" w:hAnsi="Times New Roman"/>
          <w:sz w:val="20"/>
        </w:rPr>
        <w:t xml:space="preserve">" means </w:t>
      </w:r>
      <w:proofErr w:type="gramStart"/>
      <w:r>
        <w:rPr>
          <w:rFonts w:ascii="Times New Roman" w:hAnsi="Times New Roman"/>
          <w:sz w:val="20"/>
        </w:rPr>
        <w:t>any  law</w:t>
      </w:r>
      <w:proofErr w:type="gramEnd"/>
      <w:r>
        <w:rPr>
          <w:rFonts w:ascii="Times New Roman" w:hAnsi="Times New Roman"/>
          <w:sz w:val="20"/>
        </w:rPr>
        <w:t>, regulation, decree, ordinance or legally binding order, rule or requirement of the United Nations or under the laws of the European Union, any EU Member State,</w:t>
      </w:r>
    </w:p>
    <w:p w14:paraId="6C4F26E9" w14:textId="0952A4A3" w:rsidR="004D0239" w:rsidRDefault="002C0965">
      <w:pPr>
        <w:pStyle w:val="Body3"/>
        <w:ind w:left="0"/>
        <w:rPr>
          <w:rFonts w:ascii="Times New Roman" w:hAnsi="Times New Roman"/>
          <w:sz w:val="20"/>
        </w:rPr>
      </w:pPr>
      <w:r>
        <w:rPr>
          <w:rFonts w:ascii="Times New Roman" w:hAnsi="Times New Roman"/>
          <w:sz w:val="20"/>
        </w:rPr>
        <w:t xml:space="preserve">[ </w:t>
      </w:r>
      <w:proofErr w:type="gramStart"/>
      <w:r>
        <w:rPr>
          <w:rFonts w:ascii="Times New Roman" w:hAnsi="Times New Roman"/>
          <w:sz w:val="20"/>
        </w:rPr>
        <w:t xml:space="preserve">  ]</w:t>
      </w:r>
      <w:proofErr w:type="gramEnd"/>
      <w:r>
        <w:rPr>
          <w:rFonts w:ascii="Times New Roman" w:hAnsi="Times New Roman"/>
          <w:sz w:val="20"/>
        </w:rPr>
        <w:tab/>
        <w:t xml:space="preserve">the United States of America, [or] </w:t>
      </w:r>
    </w:p>
    <w:p w14:paraId="4282C374" w14:textId="7FDA182F" w:rsidR="00B116F1" w:rsidRDefault="00B116F1">
      <w:pPr>
        <w:pStyle w:val="Body3"/>
        <w:ind w:left="0"/>
        <w:rPr>
          <w:rFonts w:ascii="Times New Roman" w:hAnsi="Times New Roman"/>
          <w:sz w:val="20"/>
        </w:rPr>
      </w:pPr>
      <w:r>
        <w:rPr>
          <w:rFonts w:ascii="Times New Roman" w:hAnsi="Times New Roman"/>
          <w:sz w:val="20"/>
        </w:rPr>
        <w:t>[__]        The United Kingdom, [or]</w:t>
      </w:r>
    </w:p>
    <w:p w14:paraId="3394A8F7" w14:textId="77777777" w:rsidR="004D0239" w:rsidRDefault="002C0965">
      <w:pPr>
        <w:pStyle w:val="Body3"/>
        <w:ind w:left="0"/>
        <w:rPr>
          <w:rFonts w:ascii="Times New Roman" w:hAnsi="Times New Roman"/>
          <w:sz w:val="20"/>
        </w:rPr>
      </w:pPr>
      <w:r>
        <w:rPr>
          <w:rFonts w:ascii="Times New Roman" w:hAnsi="Times New Roman"/>
          <w:sz w:val="20"/>
        </w:rPr>
        <w:t>[   ]</w:t>
      </w:r>
      <w:r>
        <w:rPr>
          <w:rFonts w:ascii="Times New Roman" w:hAnsi="Times New Roman"/>
          <w:sz w:val="20"/>
        </w:rPr>
        <w:tab/>
        <w:t xml:space="preserve">__________,  </w:t>
      </w:r>
    </w:p>
    <w:p w14:paraId="6922C9FE" w14:textId="77777777" w:rsidR="004D0239" w:rsidRDefault="002C0965">
      <w:pPr>
        <w:pStyle w:val="Body3"/>
        <w:ind w:left="0"/>
        <w:rPr>
          <w:rFonts w:ascii="Times New Roman" w:hAnsi="Times New Roman"/>
          <w:sz w:val="20"/>
        </w:rPr>
      </w:pPr>
      <w:r>
        <w:rPr>
          <w:rFonts w:ascii="Times New Roman" w:hAnsi="Times New Roman"/>
          <w:sz w:val="20"/>
        </w:rPr>
        <w:t>relating to trade sanctions, trade embargoes and other foreign trade controls, export controls, non-proliferation, anti-</w:t>
      </w:r>
      <w:proofErr w:type="gramStart"/>
      <w:r>
        <w:rPr>
          <w:rFonts w:ascii="Times New Roman" w:hAnsi="Times New Roman"/>
          <w:sz w:val="20"/>
        </w:rPr>
        <w:t>terrorism</w:t>
      </w:r>
      <w:proofErr w:type="gramEnd"/>
      <w:r>
        <w:rPr>
          <w:rFonts w:ascii="Times New Roman" w:hAnsi="Times New Roman"/>
          <w:sz w:val="20"/>
        </w:rPr>
        <w:t xml:space="preserve"> and similar laws. </w:t>
      </w:r>
    </w:p>
    <w:p w14:paraId="76AC134D" w14:textId="77777777" w:rsidR="004D0239" w:rsidRDefault="002C0965">
      <w:pPr>
        <w:rPr>
          <w:rFonts w:ascii="Times New Roman" w:hAnsi="Times New Roman"/>
        </w:rPr>
      </w:pPr>
      <w:r>
        <w:rPr>
          <w:rFonts w:ascii="Times New Roman" w:hAnsi="Times New Roman"/>
          <w:b/>
        </w:rPr>
        <w:t>2.</w:t>
      </w:r>
      <w:r>
        <w:rPr>
          <w:rFonts w:ascii="Times New Roman" w:hAnsi="Times New Roman"/>
          <w:b/>
        </w:rPr>
        <w:tab/>
        <w:t>Release from Delivery, Acceptance and Payment Obligations:</w:t>
      </w:r>
      <w:r>
        <w:rPr>
          <w:rFonts w:ascii="Times New Roman" w:hAnsi="Times New Roman"/>
        </w:rPr>
        <w:t xml:space="preserve"> </w:t>
      </w:r>
      <w:bookmarkStart w:id="0" w:name="_Ref312404172"/>
      <w:r>
        <w:rPr>
          <w:rFonts w:ascii="Times New Roman" w:hAnsi="Times New Roman"/>
        </w:rPr>
        <w:t>If a Trade Restriction: (i) is directly applicable to a Party;</w:t>
      </w:r>
      <w:r>
        <w:rPr>
          <w:rFonts w:ascii="Times New Roman" w:hAnsi="Times New Roman"/>
          <w:lang w:val="en-US"/>
        </w:rPr>
        <w:t xml:space="preserve"> and (ii) fully or partially prevents this Party (the "</w:t>
      </w:r>
      <w:r>
        <w:rPr>
          <w:rFonts w:ascii="Times New Roman" w:hAnsi="Times New Roman"/>
          <w:b/>
          <w:lang w:val="en-US"/>
        </w:rPr>
        <w:t>Trade Affected Party</w:t>
      </w:r>
      <w:r>
        <w:rPr>
          <w:rFonts w:ascii="Times New Roman" w:hAnsi="Times New Roman"/>
          <w:lang w:val="en-US"/>
        </w:rPr>
        <w:t>")</w:t>
      </w:r>
      <w:r>
        <w:rPr>
          <w:rFonts w:ascii="Times New Roman" w:hAnsi="Times New Roman"/>
        </w:rPr>
        <w:t xml:space="preserve"> from performing or procuring the performance of any obligation otherwise required by this Agreement including, without limitation, its obligations to: (a) deliver, accept, sell or purchase electricity or pay or receive monies under one or more Individual Contracts to, from, or through an Entity; or (b) engage in any other acts under the Agreement (each an "</w:t>
      </w:r>
      <w:r>
        <w:rPr>
          <w:rFonts w:ascii="Times New Roman" w:hAnsi="Times New Roman"/>
          <w:b/>
        </w:rPr>
        <w:t>Affected Obligation</w:t>
      </w:r>
      <w:r>
        <w:rPr>
          <w:rFonts w:ascii="Times New Roman" w:hAnsi="Times New Roman"/>
        </w:rPr>
        <w:t xml:space="preserve">"), because this would constitute a violation of, be inconsistent with, or expose the Trade Affected Party to a punitive measure under such Trade Restriction, and provided that the Trade Affected Party can legally bind itself under the national laws of the place of the Trade Affected Party’s incorporation, registration, or </w:t>
      </w:r>
      <w:r>
        <w:rPr>
          <w:rFonts w:ascii="Times New Roman" w:hAnsi="Times New Roman"/>
          <w:lang w:val="en-US"/>
        </w:rPr>
        <w:t>establishment to comply with such Trade Restriction (such Trade Restriction</w:t>
      </w:r>
      <w:r>
        <w:rPr>
          <w:rFonts w:ascii="Times New Roman" w:hAnsi="Times New Roman"/>
        </w:rPr>
        <w:t xml:space="preserve"> being an </w:t>
      </w:r>
      <w:r>
        <w:rPr>
          <w:rFonts w:ascii="Times New Roman" w:hAnsi="Times New Roman"/>
          <w:lang w:val="en-US"/>
        </w:rPr>
        <w:t>"</w:t>
      </w:r>
      <w:r>
        <w:rPr>
          <w:rFonts w:ascii="Times New Roman" w:hAnsi="Times New Roman"/>
          <w:b/>
        </w:rPr>
        <w:t>Applicable Trade Restriction</w:t>
      </w:r>
      <w:r>
        <w:rPr>
          <w:rFonts w:ascii="Times New Roman" w:hAnsi="Times New Roman"/>
          <w:lang w:val="en-US"/>
        </w:rPr>
        <w:t>"</w:t>
      </w:r>
      <w:r>
        <w:rPr>
          <w:rFonts w:ascii="Times New Roman" w:hAnsi="Times New Roman"/>
        </w:rPr>
        <w:t>), then, without prejudice to § 7(a).6 (</w:t>
      </w:r>
      <w:r>
        <w:rPr>
          <w:rFonts w:ascii="Times New Roman" w:hAnsi="Times New Roman"/>
          <w:b/>
          <w:i/>
        </w:rPr>
        <w:t>Long Term Trade Restriction Limit</w:t>
      </w:r>
      <w:r>
        <w:rPr>
          <w:rFonts w:ascii="Times New Roman" w:hAnsi="Times New Roman"/>
        </w:rPr>
        <w:t>), no breach or default of this Agreement on the part of the Trade Affected Party as a result of the Applicable Trade Restriction shall be deemed to have occurred and, subject to § 7(a).5 (</w:t>
      </w:r>
      <w:r>
        <w:rPr>
          <w:rFonts w:ascii="Times New Roman" w:hAnsi="Times New Roman"/>
          <w:b/>
          <w:i/>
        </w:rPr>
        <w:t>Accrued Amounts</w:t>
      </w:r>
      <w:r>
        <w:rPr>
          <w:rFonts w:ascii="Times New Roman" w:hAnsi="Times New Roman"/>
        </w:rPr>
        <w:t xml:space="preserve">), it shall be released (and not merely suspended) from those Affected Obligations but only for the period of time and to the extent that such Applicable Trade Restriction prevents its performance. </w:t>
      </w:r>
      <w:bookmarkEnd w:id="0"/>
      <w:r>
        <w:rPr>
          <w:rFonts w:ascii="Times New Roman" w:hAnsi="Times New Roman"/>
        </w:rPr>
        <w:t>Without prejudice to § 7(a).6 (</w:t>
      </w:r>
      <w:r>
        <w:rPr>
          <w:rFonts w:ascii="Times New Roman" w:hAnsi="Times New Roman"/>
          <w:b/>
          <w:i/>
        </w:rPr>
        <w:t>Long Term Trade Restriction Limit</w:t>
      </w:r>
      <w:r>
        <w:rPr>
          <w:rFonts w:ascii="Times New Roman" w:hAnsi="Times New Roman"/>
        </w:rPr>
        <w:t>), the Trade Affected Party and the other Party (the "</w:t>
      </w:r>
      <w:r>
        <w:rPr>
          <w:rFonts w:ascii="Times New Roman" w:hAnsi="Times New Roman"/>
          <w:b/>
        </w:rPr>
        <w:t>Trade Restricted Party</w:t>
      </w:r>
      <w:r>
        <w:rPr>
          <w:rFonts w:ascii="Times New Roman" w:hAnsi="Times New Roman"/>
        </w:rPr>
        <w:t>") shall have no obligation to pay damages pursuant to § 8 (</w:t>
      </w:r>
      <w:r>
        <w:rPr>
          <w:rFonts w:ascii="Times New Roman" w:hAnsi="Times New Roman"/>
          <w:b/>
          <w:i/>
        </w:rPr>
        <w:t>Remedies for Failure to Deliver or Accept the Contract Quantity</w:t>
      </w:r>
      <w:r>
        <w:rPr>
          <w:rFonts w:ascii="Times New Roman" w:hAnsi="Times New Roman"/>
        </w:rPr>
        <w:t>) with respect to any Contract Quantities which are undelivered or non-accepted arising under any Individual Contracts concluded under the Agreement as a result of any Applicable Trade Restriction affecting the Trade Affected Party's obligations under this Agreement nor shall any right to terminate the Agreement pursuant to § 10.5 (a) (</w:t>
      </w:r>
      <w:r>
        <w:rPr>
          <w:rFonts w:ascii="Times New Roman" w:hAnsi="Times New Roman"/>
          <w:b/>
          <w:i/>
        </w:rPr>
        <w:t>Non-Performance</w:t>
      </w:r>
      <w:r>
        <w:rPr>
          <w:rFonts w:ascii="Times New Roman" w:hAnsi="Times New Roman"/>
        </w:rPr>
        <w:t>) or § 10.5 (d) (</w:t>
      </w:r>
      <w:r>
        <w:rPr>
          <w:rFonts w:ascii="Times New Roman" w:hAnsi="Times New Roman"/>
          <w:b/>
          <w:i/>
        </w:rPr>
        <w:t>Failure to Deliver or Accept</w:t>
      </w:r>
      <w:r>
        <w:rPr>
          <w:rFonts w:ascii="Times New Roman" w:hAnsi="Times New Roman"/>
        </w:rPr>
        <w:t xml:space="preserve">) arise for the </w:t>
      </w:r>
      <w:r>
        <w:rPr>
          <w:rFonts w:ascii="Times New Roman" w:hAnsi="Times New Roman"/>
        </w:rPr>
        <w:lastRenderedPageBreak/>
        <w:t xml:space="preserve">Trade Restricted Party or the Trade Affected Party as a result of any failure to perform or procure the performance of any Affected Obligation due to any Applicable Trade Restriction.    </w:t>
      </w:r>
    </w:p>
    <w:p w14:paraId="426D5EBE" w14:textId="77777777" w:rsidR="004D0239" w:rsidRDefault="002C0965">
      <w:pPr>
        <w:pStyle w:val="Level2"/>
        <w:widowControl/>
        <w:tabs>
          <w:tab w:val="clear" w:pos="709"/>
          <w:tab w:val="left" w:pos="0"/>
        </w:tabs>
        <w:ind w:left="0" w:firstLine="0"/>
        <w:rPr>
          <w:rFonts w:ascii="Times New Roman" w:hAnsi="Times New Roman"/>
          <w:sz w:val="20"/>
        </w:rPr>
      </w:pPr>
      <w:r>
        <w:rPr>
          <w:rFonts w:ascii="Times New Roman" w:hAnsi="Times New Roman"/>
          <w:b/>
          <w:sz w:val="20"/>
        </w:rPr>
        <w:t>3.</w:t>
      </w:r>
      <w:r>
        <w:rPr>
          <w:rFonts w:ascii="Times New Roman" w:hAnsi="Times New Roman"/>
          <w:sz w:val="20"/>
        </w:rPr>
        <w:tab/>
      </w:r>
      <w:r>
        <w:rPr>
          <w:rStyle w:val="Heading2Text"/>
          <w:rFonts w:ascii="Times New Roman" w:hAnsi="Times New Roman"/>
        </w:rPr>
        <w:t>Notification and Mitigation of Applicable Trade Restriction:</w:t>
      </w:r>
      <w:r>
        <w:rPr>
          <w:rFonts w:ascii="Times New Roman" w:hAnsi="Times New Roman"/>
          <w:sz w:val="20"/>
        </w:rPr>
        <w:t xml:space="preserve">  The Trade Affected Party shall to the extent permissible and as soon as practicable after learning of the Applicable Trade Restriction notify the Trade Restricted Party of the commencement of an Applicable Trade Restriction and of the Individual Contract(s) affected thereby and, to the extent then available, provide to the Trade Restricted Party a bona fide non-binding estimate of the extent and expected duration of its inability to perform.  The Trade Restricted Party and the Trade Affected Party shall, to the extent permissible under any Applicable Trade Restriction: (i) use all commercially reasonable efforts to mitigate and overcome the effects of the </w:t>
      </w:r>
      <w:r>
        <w:rPr>
          <w:rFonts w:ascii="Times New Roman" w:hAnsi="Times New Roman"/>
          <w:caps/>
          <w:sz w:val="20"/>
        </w:rPr>
        <w:t>a</w:t>
      </w:r>
      <w:r>
        <w:rPr>
          <w:rFonts w:ascii="Times New Roman" w:hAnsi="Times New Roman"/>
          <w:sz w:val="20"/>
        </w:rPr>
        <w:t>pplicable</w:t>
      </w:r>
      <w:r>
        <w:rPr>
          <w:rFonts w:ascii="Times New Roman" w:hAnsi="Times New Roman"/>
          <w:caps/>
          <w:sz w:val="20"/>
        </w:rPr>
        <w:t xml:space="preserve"> </w:t>
      </w:r>
      <w:r>
        <w:rPr>
          <w:rFonts w:ascii="Times New Roman" w:hAnsi="Times New Roman"/>
          <w:sz w:val="20"/>
        </w:rPr>
        <w:t>Trade Restriction, which shall however not include an obligation to procure a licence to perform; and (ii) during the continuation of the Applicable Trade Restriction, provide the other Party with reasonable bona fide updates, when, and if available, of the extent and expected duration of its inability to perform such Individual Contract(s).</w:t>
      </w:r>
    </w:p>
    <w:p w14:paraId="78D87CE8" w14:textId="77777777" w:rsidR="004D0239" w:rsidRDefault="002C0965">
      <w:pPr>
        <w:pStyle w:val="Level2"/>
        <w:keepNext/>
        <w:widowControl/>
        <w:tabs>
          <w:tab w:val="clear" w:pos="709"/>
          <w:tab w:val="left" w:pos="0"/>
        </w:tabs>
        <w:ind w:left="3" w:hanging="3"/>
        <w:rPr>
          <w:rFonts w:ascii="Times New Roman" w:eastAsiaTheme="minorHAnsi" w:hAnsi="Times New Roman" w:cstheme="minorBidi"/>
          <w:kern w:val="0"/>
          <w:sz w:val="20"/>
        </w:rPr>
      </w:pPr>
      <w:r>
        <w:rPr>
          <w:rFonts w:ascii="Times New Roman" w:hAnsi="Times New Roman"/>
          <w:b/>
          <w:sz w:val="20"/>
        </w:rPr>
        <w:t>4.</w:t>
      </w:r>
      <w:r>
        <w:rPr>
          <w:rFonts w:ascii="Times New Roman" w:hAnsi="Times New Roman"/>
          <w:sz w:val="20"/>
        </w:rPr>
        <w:tab/>
      </w:r>
      <w:r>
        <w:rPr>
          <w:rStyle w:val="Heading2Text"/>
          <w:rFonts w:ascii="Times New Roman" w:hAnsi="Times New Roman"/>
        </w:rPr>
        <w:t>Effects of Applicable Trade Restriction on Trade Restricted Party:</w:t>
      </w:r>
      <w:r>
        <w:rPr>
          <w:rFonts w:ascii="Times New Roman" w:hAnsi="Times New Roman"/>
          <w:sz w:val="20"/>
        </w:rPr>
        <w:t xml:space="preserve">  In the event, and to the extent, that </w:t>
      </w:r>
      <w:proofErr w:type="gramStart"/>
      <w:r>
        <w:rPr>
          <w:rFonts w:ascii="Times New Roman" w:hAnsi="Times New Roman"/>
          <w:sz w:val="20"/>
        </w:rPr>
        <w:t xml:space="preserve">a </w:t>
      </w:r>
      <w:r>
        <w:rPr>
          <w:rFonts w:ascii="Times New Roman" w:hAnsi="Times New Roman"/>
          <w:sz w:val="20"/>
          <w:lang w:val="en-US"/>
        </w:rPr>
        <w:t>Trade Affected Party</w:t>
      </w:r>
      <w:r>
        <w:rPr>
          <w:rFonts w:ascii="Times New Roman" w:hAnsi="Times New Roman"/>
          <w:sz w:val="20"/>
        </w:rPr>
        <w:t>'s delivery obligations</w:t>
      </w:r>
      <w:proofErr w:type="gramEnd"/>
      <w:r>
        <w:rPr>
          <w:rFonts w:ascii="Times New Roman" w:hAnsi="Times New Roman"/>
          <w:sz w:val="20"/>
        </w:rPr>
        <w:t xml:space="preserve"> are released due to an Applicable Trade Restriction (and if delivery and acceptance have not yet been performed), subject to § 7(a).5 </w:t>
      </w:r>
      <w:r>
        <w:rPr>
          <w:rFonts w:ascii="Times New Roman" w:hAnsi="Times New Roman"/>
          <w:sz w:val="20"/>
          <w:lang w:val="en-US"/>
        </w:rPr>
        <w:t>(</w:t>
      </w:r>
      <w:r>
        <w:rPr>
          <w:rFonts w:ascii="Times New Roman" w:hAnsi="Times New Roman"/>
          <w:b/>
          <w:bCs/>
          <w:i/>
          <w:iCs/>
          <w:sz w:val="20"/>
          <w:lang w:val="en-US"/>
        </w:rPr>
        <w:t>Accrued Amounts</w:t>
      </w:r>
      <w:r>
        <w:rPr>
          <w:rFonts w:ascii="Times New Roman" w:hAnsi="Times New Roman"/>
          <w:sz w:val="20"/>
          <w:lang w:val="en-US"/>
        </w:rPr>
        <w:t>)</w:t>
      </w:r>
      <w:r>
        <w:rPr>
          <w:rFonts w:ascii="Times New Roman" w:hAnsi="Times New Roman"/>
          <w:sz w:val="20"/>
        </w:rPr>
        <w:t xml:space="preserve">, the </w:t>
      </w:r>
      <w:r>
        <w:rPr>
          <w:rFonts w:ascii="Times New Roman" w:hAnsi="Times New Roman"/>
          <w:sz w:val="20"/>
          <w:lang w:val="en-US"/>
        </w:rPr>
        <w:t>Trade Restricted Party</w:t>
      </w:r>
      <w:r>
        <w:rPr>
          <w:rFonts w:ascii="Times New Roman" w:hAnsi="Times New Roman"/>
          <w:sz w:val="20"/>
        </w:rPr>
        <w:t xml:space="preserve">'s corresponding acceptance and payment obligations shall also be released.  In the event, and to the extent that </w:t>
      </w:r>
      <w:r>
        <w:rPr>
          <w:rFonts w:ascii="Times New Roman" w:hAnsi="Times New Roman"/>
          <w:sz w:val="20"/>
          <w:lang w:val="en-US"/>
        </w:rPr>
        <w:t>the Trade Affected Party</w:t>
      </w:r>
      <w:r>
        <w:rPr>
          <w:rFonts w:ascii="Times New Roman" w:hAnsi="Times New Roman"/>
          <w:sz w:val="20"/>
        </w:rPr>
        <w:t xml:space="preserve">'s acceptance or payment obligations are released due to an Applicable Trade Restriction, the </w:t>
      </w:r>
      <w:r>
        <w:rPr>
          <w:rFonts w:ascii="Times New Roman" w:hAnsi="Times New Roman"/>
          <w:sz w:val="20"/>
          <w:lang w:val="en-US"/>
        </w:rPr>
        <w:t>Trade Restricted Party</w:t>
      </w:r>
      <w:r>
        <w:rPr>
          <w:rFonts w:ascii="Times New Roman" w:hAnsi="Times New Roman"/>
          <w:sz w:val="20"/>
        </w:rPr>
        <w:t>'s corresponding delivery obligations shall also be released.</w:t>
      </w:r>
      <w:r>
        <w:rPr>
          <w:rFonts w:ascii="Times New Roman" w:eastAsiaTheme="minorHAnsi" w:hAnsi="Times New Roman" w:cstheme="minorBidi"/>
          <w:kern w:val="0"/>
          <w:sz w:val="20"/>
        </w:rPr>
        <w:t xml:space="preserve"> </w:t>
      </w:r>
    </w:p>
    <w:p w14:paraId="243CC0FA" w14:textId="77777777" w:rsidR="004D0239" w:rsidRDefault="002C0965">
      <w:r>
        <w:rPr>
          <w:rFonts w:ascii="Times New Roman" w:hAnsi="Times New Roman"/>
          <w:b/>
        </w:rPr>
        <w:t>5.</w:t>
      </w:r>
      <w:r>
        <w:rPr>
          <w:rFonts w:ascii="Times New Roman" w:hAnsi="Times New Roman"/>
        </w:rPr>
        <w:tab/>
      </w:r>
      <w:r>
        <w:rPr>
          <w:rStyle w:val="Heading2Text"/>
          <w:rFonts w:ascii="Times New Roman" w:hAnsi="Times New Roman"/>
        </w:rPr>
        <w:t>Accrued Amounts:</w:t>
      </w:r>
      <w:r>
        <w:rPr>
          <w:rFonts w:ascii="Times New Roman" w:hAnsi="Times New Roman"/>
        </w:rPr>
        <w:t xml:space="preserve">  If, at the time any Applicable Trade Restriction comes into force preventing the payment or receipt of any monies by either Party, any monies have already accrued between the Parties for deliveries of electricity or otherwise in respect of the period before such Applicable Trade Restriction came into force ("</w:t>
      </w:r>
      <w:r>
        <w:rPr>
          <w:rFonts w:ascii="Times New Roman" w:hAnsi="Times New Roman"/>
          <w:b/>
        </w:rPr>
        <w:t>Accrued Amounts</w:t>
      </w:r>
      <w:r>
        <w:rPr>
          <w:rFonts w:ascii="Times New Roman" w:hAnsi="Times New Roman"/>
        </w:rPr>
        <w:t>"), then the obligation to pay any such Accrued Amounts shall be suspended until such time as payments of monies may lawfully be made under any Applicable Trade Restriction or after the Applicable Trade Restriction ceases to apply.</w:t>
      </w:r>
    </w:p>
    <w:p w14:paraId="49C3F17D" w14:textId="77777777" w:rsidR="004D0239" w:rsidRDefault="002C0965">
      <w:pPr>
        <w:pStyle w:val="Level2"/>
        <w:widowControl/>
        <w:tabs>
          <w:tab w:val="clear" w:pos="709"/>
          <w:tab w:val="left" w:pos="0"/>
        </w:tabs>
        <w:ind w:left="3" w:hanging="3"/>
        <w:rPr>
          <w:rFonts w:ascii="Times New Roman" w:hAnsi="Times New Roman"/>
          <w:sz w:val="20"/>
        </w:rPr>
      </w:pPr>
      <w:r>
        <w:rPr>
          <w:rStyle w:val="Heading2Text"/>
          <w:rFonts w:ascii="Times New Roman" w:hAnsi="Times New Roman"/>
        </w:rPr>
        <w:t>6.</w:t>
      </w:r>
      <w:r>
        <w:rPr>
          <w:rStyle w:val="Heading2Text"/>
          <w:rFonts w:ascii="Times New Roman" w:hAnsi="Times New Roman"/>
          <w:b w:val="0"/>
        </w:rPr>
        <w:tab/>
      </w:r>
      <w:r>
        <w:rPr>
          <w:rStyle w:val="Heading2Text"/>
          <w:rFonts w:ascii="Times New Roman" w:hAnsi="Times New Roman"/>
        </w:rPr>
        <w:t xml:space="preserve">Long Term Trade Restriction Limit:  </w:t>
      </w:r>
      <w:r>
        <w:rPr>
          <w:rFonts w:ascii="Times New Roman" w:hAnsi="Times New Roman"/>
          <w:sz w:val="20"/>
        </w:rPr>
        <w:t>Where in respect of an Individual Contract the obligations of the Trade Affected Party have been adversely affected by an Applicable Trade Restriction on each day for a consecutive period of [10] days and by on average more than fifty (50) per cent of the aggregate contracted quantity during such period, then the Trade Affected Party and the Trade Restricted Party shall have the right to terminate such Individual Contract forthwith.  In case of such termination, the terminating Party shall only be required to send notice of termination of such an Individual Contract to the other Party to the extent permissible.  Such termination shall be without prejudice to the accrued rights and obligations of the Parties under such Individual Contract up to the date of termination (including, without limitation, the obligation to pay any Accrued Amounts once so permitted) but neither Party shall have any liability whatsoever to the other in respect of the unexpired portion of the Total Supply Period under such Individual Contract after the date of termination.</w:t>
      </w:r>
    </w:p>
    <w:p w14:paraId="7D142ADD" w14:textId="77777777" w:rsidR="004D0239" w:rsidRDefault="002C0965">
      <w:pPr>
        <w:pStyle w:val="Body3"/>
        <w:ind w:left="0"/>
        <w:rPr>
          <w:rFonts w:ascii="Times New Roman" w:hAnsi="Times New Roman"/>
          <w:sz w:val="20"/>
        </w:rPr>
      </w:pPr>
      <w:r>
        <w:rPr>
          <w:rFonts w:ascii="Times New Roman" w:hAnsi="Times New Roman"/>
          <w:b/>
          <w:sz w:val="20"/>
        </w:rPr>
        <w:t>7.</w:t>
      </w:r>
      <w:r>
        <w:rPr>
          <w:rFonts w:ascii="Times New Roman" w:hAnsi="Times New Roman"/>
          <w:b/>
          <w:sz w:val="20"/>
        </w:rPr>
        <w:tab/>
        <w:t>Consequential Amendments:</w:t>
      </w:r>
      <w:r>
        <w:rPr>
          <w:rFonts w:ascii="Times New Roman" w:hAnsi="Times New Roman"/>
          <w:sz w:val="20"/>
        </w:rPr>
        <w:t xml:space="preserve">  References to "Force Majeure" in § 8.1 (</w:t>
      </w:r>
      <w:r w:rsidRPr="002C0965">
        <w:rPr>
          <w:rFonts w:ascii="Times New Roman" w:hAnsi="Times New Roman"/>
          <w:b/>
          <w:i/>
          <w:sz w:val="20"/>
        </w:rPr>
        <w:t>Failure to deliver</w:t>
      </w:r>
      <w:r>
        <w:rPr>
          <w:rFonts w:ascii="Times New Roman" w:hAnsi="Times New Roman"/>
          <w:sz w:val="20"/>
        </w:rPr>
        <w:t>) and 8.2 (</w:t>
      </w:r>
      <w:r w:rsidRPr="002C0965">
        <w:rPr>
          <w:rFonts w:ascii="Times New Roman" w:hAnsi="Times New Roman"/>
          <w:b/>
          <w:i/>
          <w:sz w:val="20"/>
        </w:rPr>
        <w:t>Failure to Accept</w:t>
      </w:r>
      <w:r>
        <w:rPr>
          <w:rFonts w:ascii="Times New Roman" w:hAnsi="Times New Roman"/>
          <w:sz w:val="20"/>
        </w:rPr>
        <w:t>) shall be understood as references to "Force Majeure in accordance with § 7 (</w:t>
      </w:r>
      <w:r>
        <w:rPr>
          <w:rFonts w:ascii="Times New Roman" w:hAnsi="Times New Roman"/>
          <w:b/>
          <w:i/>
          <w:sz w:val="20"/>
        </w:rPr>
        <w:t>Non-Performance Due to Force Majeure</w:t>
      </w:r>
      <w:r>
        <w:rPr>
          <w:rFonts w:ascii="Times New Roman" w:hAnsi="Times New Roman"/>
          <w:sz w:val="20"/>
        </w:rPr>
        <w:t>) or any Applicable Trade Restriction in accordance with § 7(a) (</w:t>
      </w:r>
      <w:r>
        <w:rPr>
          <w:rFonts w:ascii="Times New Roman" w:hAnsi="Times New Roman"/>
          <w:b/>
          <w:i/>
          <w:sz w:val="20"/>
        </w:rPr>
        <w:t>Non-Performance Due to Trade Restriction)</w:t>
      </w:r>
      <w:r>
        <w:rPr>
          <w:rFonts w:ascii="Times New Roman" w:hAnsi="Times New Roman"/>
          <w:sz w:val="20"/>
        </w:rPr>
        <w:t>" and references to "§ 7 (</w:t>
      </w:r>
      <w:r>
        <w:rPr>
          <w:rFonts w:ascii="Times New Roman" w:hAnsi="Times New Roman"/>
          <w:b/>
          <w:i/>
          <w:sz w:val="20"/>
        </w:rPr>
        <w:t>Non-Performance Due to Force Majeure</w:t>
      </w:r>
      <w:r>
        <w:rPr>
          <w:rFonts w:ascii="Times New Roman" w:hAnsi="Times New Roman"/>
          <w:sz w:val="20"/>
        </w:rPr>
        <w:t>)" in § 10.5(a) (</w:t>
      </w:r>
      <w:r>
        <w:rPr>
          <w:rFonts w:ascii="Times New Roman" w:hAnsi="Times New Roman"/>
          <w:b/>
          <w:i/>
          <w:sz w:val="20"/>
        </w:rPr>
        <w:t>Non-Performance</w:t>
      </w:r>
      <w:r>
        <w:rPr>
          <w:rFonts w:ascii="Times New Roman" w:hAnsi="Times New Roman"/>
          <w:sz w:val="20"/>
        </w:rPr>
        <w:t>) and § 10.5(d) (</w:t>
      </w:r>
      <w:r>
        <w:rPr>
          <w:rFonts w:ascii="Times New Roman" w:hAnsi="Times New Roman"/>
          <w:b/>
          <w:i/>
          <w:sz w:val="20"/>
        </w:rPr>
        <w:t>Failure to Deliver or Accept</w:t>
      </w:r>
      <w:r>
        <w:rPr>
          <w:rFonts w:ascii="Times New Roman" w:hAnsi="Times New Roman"/>
          <w:sz w:val="20"/>
        </w:rPr>
        <w:t>) shall be understood as references to "§ 7 (</w:t>
      </w:r>
      <w:r>
        <w:rPr>
          <w:rFonts w:ascii="Times New Roman" w:hAnsi="Times New Roman"/>
          <w:b/>
          <w:i/>
          <w:sz w:val="20"/>
        </w:rPr>
        <w:t>Non-Performance Due to Force Majeure</w:t>
      </w:r>
      <w:r>
        <w:rPr>
          <w:rFonts w:ascii="Times New Roman" w:hAnsi="Times New Roman"/>
          <w:sz w:val="20"/>
        </w:rPr>
        <w:t>) or § 7(a) (</w:t>
      </w:r>
      <w:r>
        <w:rPr>
          <w:rFonts w:ascii="Times New Roman" w:hAnsi="Times New Roman"/>
          <w:b/>
          <w:i/>
          <w:sz w:val="20"/>
        </w:rPr>
        <w:t>Non-Performance Due to Trade Restriction)</w:t>
      </w:r>
      <w:r>
        <w:rPr>
          <w:rFonts w:ascii="Times New Roman" w:hAnsi="Times New Roman"/>
          <w:sz w:val="20"/>
        </w:rPr>
        <w:t>".</w:t>
      </w:r>
    </w:p>
    <w:p w14:paraId="09BD540E" w14:textId="77777777" w:rsidR="004D0239" w:rsidRDefault="004D0239">
      <w:pPr>
        <w:pStyle w:val="Body3"/>
        <w:ind w:left="0"/>
      </w:pPr>
    </w:p>
    <w:sectPr w:rsidR="004D023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D189A0" w14:textId="77777777" w:rsidR="004D0239" w:rsidRDefault="002C0965">
      <w:pPr>
        <w:spacing w:after="0" w:line="240" w:lineRule="auto"/>
      </w:pPr>
      <w:r>
        <w:separator/>
      </w:r>
    </w:p>
  </w:endnote>
  <w:endnote w:type="continuationSeparator" w:id="0">
    <w:p w14:paraId="29AA6095" w14:textId="77777777" w:rsidR="004D0239" w:rsidRDefault="002C0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Univers 45 Light">
    <w:altName w:val="Cambria"/>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C3D87" w14:textId="77777777" w:rsidR="004D0239" w:rsidRDefault="004D0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1139126"/>
      <w:docPartObj>
        <w:docPartGallery w:val="Page Numbers (Bottom of Page)"/>
        <w:docPartUnique/>
      </w:docPartObj>
    </w:sdtPr>
    <w:sdtEndPr>
      <w:rPr>
        <w:noProof/>
        <w:sz w:val="16"/>
        <w:szCs w:val="16"/>
      </w:rPr>
    </w:sdtEndPr>
    <w:sdtContent>
      <w:p w14:paraId="68A2214F" w14:textId="77777777" w:rsidR="004D0239" w:rsidRDefault="002C0965">
        <w:pPr>
          <w:pStyle w:val="Footer"/>
          <w:jc w:val="center"/>
          <w:rPr>
            <w:sz w:val="16"/>
            <w:szCs w:val="16"/>
          </w:rPr>
        </w:pP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noProof/>
            <w:sz w:val="16"/>
            <w:szCs w:val="16"/>
          </w:rPr>
          <w:fldChar w:fldCharType="end"/>
        </w:r>
      </w:p>
    </w:sdtContent>
  </w:sdt>
  <w:p w14:paraId="2EE4B089" w14:textId="77777777" w:rsidR="004D0239" w:rsidRDefault="004D02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A291F" w14:textId="77777777" w:rsidR="004D0239" w:rsidRDefault="004D0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E42A0" w14:textId="77777777" w:rsidR="004D0239" w:rsidRDefault="002C0965">
      <w:pPr>
        <w:spacing w:after="0" w:line="240" w:lineRule="auto"/>
      </w:pPr>
      <w:r>
        <w:separator/>
      </w:r>
    </w:p>
  </w:footnote>
  <w:footnote w:type="continuationSeparator" w:id="0">
    <w:p w14:paraId="28132E46" w14:textId="77777777" w:rsidR="004D0239" w:rsidRDefault="002C0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6F506" w14:textId="77777777" w:rsidR="004D0239" w:rsidRDefault="004D02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A109" w14:textId="77777777" w:rsidR="004D0239" w:rsidRDefault="004D02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63BDA" w14:textId="77777777" w:rsidR="004D0239" w:rsidRDefault="004D02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6E4105"/>
    <w:multiLevelType w:val="multilevel"/>
    <w:tmpl w:val="76508076"/>
    <w:lvl w:ilvl="0">
      <w:start w:val="1"/>
      <w:numFmt w:val="decimal"/>
      <w:lvlText w:val="%1"/>
      <w:lvlJc w:val="right"/>
      <w:pPr>
        <w:tabs>
          <w:tab w:val="num" w:pos="3694"/>
        </w:tabs>
        <w:ind w:left="3694" w:hanging="454"/>
      </w:pPr>
      <w:rPr>
        <w:rFonts w:hint="default"/>
      </w:rPr>
    </w:lvl>
    <w:lvl w:ilvl="1">
      <w:start w:val="1"/>
      <w:numFmt w:val="decimal"/>
      <w:lvlText w:val="%1.%2"/>
      <w:lvlJc w:val="right"/>
      <w:pPr>
        <w:tabs>
          <w:tab w:val="num" w:pos="454"/>
        </w:tabs>
        <w:ind w:left="454" w:hanging="454"/>
      </w:pPr>
      <w:rPr>
        <w:rFonts w:ascii="Arial" w:hAnsi="Arial" w:cs="Arial" w:hint="default"/>
        <w:b w:val="0"/>
      </w:rPr>
    </w:lvl>
    <w:lvl w:ilvl="2">
      <w:start w:val="1"/>
      <w:numFmt w:val="decimal"/>
      <w:lvlText w:val="%1.%2.%3"/>
      <w:lvlJc w:val="right"/>
      <w:pPr>
        <w:tabs>
          <w:tab w:val="num" w:pos="454"/>
        </w:tabs>
        <w:ind w:left="454" w:hanging="454"/>
      </w:pPr>
      <w:rPr>
        <w:rFonts w:ascii="Arial" w:hAnsi="Arial" w:cs="Arial" w:hint="default"/>
        <w:b w:val="0"/>
        <w:i w:val="0"/>
      </w:rPr>
    </w:lvl>
    <w:lvl w:ilvl="3">
      <w:start w:val="1"/>
      <w:numFmt w:val="lowerLetter"/>
      <w:lvlText w:val="(%4)"/>
      <w:lvlJc w:val="left"/>
      <w:pPr>
        <w:tabs>
          <w:tab w:val="num" w:pos="1260"/>
        </w:tabs>
        <w:ind w:left="0" w:firstLine="0"/>
      </w:pPr>
      <w:rPr>
        <w:rFonts w:ascii="Arial" w:eastAsia="SimSun" w:hAnsi="Arial" w:cs="Arial" w:hint="default"/>
        <w:b w:val="0"/>
        <w:i w:val="0"/>
      </w:rPr>
    </w:lvl>
    <w:lvl w:ilvl="4">
      <w:start w:val="1"/>
      <w:numFmt w:val="lowerRoman"/>
      <w:lvlText w:val="(%5)"/>
      <w:lvlJc w:val="left"/>
      <w:pPr>
        <w:ind w:left="0" w:firstLine="0"/>
      </w:pPr>
      <w:rPr>
        <w:rFonts w:ascii="Arial" w:eastAsia="SimSun" w:hAnsi="Arial" w:cs="Arial"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4A903A1A"/>
    <w:multiLevelType w:val="hybridMultilevel"/>
    <w:tmpl w:val="3F448384"/>
    <w:lvl w:ilvl="0" w:tplc="77E040BE">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2330E9"/>
    <w:multiLevelType w:val="multilevel"/>
    <w:tmpl w:val="17543B80"/>
    <w:lvl w:ilvl="0">
      <w:start w:val="1"/>
      <w:numFmt w:val="decimal"/>
      <w:lvlText w:val="%1"/>
      <w:lvlJc w:val="right"/>
      <w:pPr>
        <w:tabs>
          <w:tab w:val="num" w:pos="568"/>
        </w:tabs>
        <w:ind w:left="568" w:hanging="454"/>
      </w:pPr>
    </w:lvl>
    <w:lvl w:ilvl="1">
      <w:start w:val="1"/>
      <w:numFmt w:val="decimal"/>
      <w:lvlText w:val="%1.%2"/>
      <w:lvlJc w:val="right"/>
      <w:pPr>
        <w:tabs>
          <w:tab w:val="num" w:pos="454"/>
        </w:tabs>
        <w:ind w:left="454" w:hanging="454"/>
      </w:pPr>
      <w:rPr>
        <w:rFonts w:ascii="Arial" w:hAnsi="Arial" w:cs="Arial" w:hint="default"/>
        <w:b w:val="0"/>
        <w:i w:val="0"/>
        <w:sz w:val="20"/>
        <w:szCs w:val="20"/>
      </w:rPr>
    </w:lvl>
    <w:lvl w:ilvl="2">
      <w:start w:val="1"/>
      <w:numFmt w:val="lowerLetter"/>
      <w:lvlText w:val="(%3)"/>
      <w:lvlJc w:val="left"/>
      <w:pPr>
        <w:tabs>
          <w:tab w:val="num" w:pos="1560"/>
        </w:tabs>
        <w:ind w:left="1560" w:hanging="567"/>
      </w:pPr>
      <w:rPr>
        <w:b w:val="0"/>
        <w:i w:val="0"/>
        <w:sz w:val="20"/>
        <w:szCs w:val="20"/>
      </w:rPr>
    </w:lvl>
    <w:lvl w:ilvl="3">
      <w:start w:val="1"/>
      <w:numFmt w:val="lowerRoman"/>
      <w:lvlText w:val="(%4)"/>
      <w:lvlJc w:val="left"/>
      <w:pPr>
        <w:tabs>
          <w:tab w:val="num" w:pos="1701"/>
        </w:tabs>
        <w:ind w:left="1701" w:hanging="567"/>
      </w:pPr>
      <w:rPr>
        <w:b w:val="0"/>
        <w:i w:val="0"/>
        <w:sz w:val="20"/>
        <w:szCs w:val="20"/>
      </w:rPr>
    </w:lvl>
    <w:lvl w:ilvl="4">
      <w:start w:val="1"/>
      <w:numFmt w:val="upperLetter"/>
      <w:lvlText w:val="(%5)"/>
      <w:lvlJc w:val="left"/>
      <w:pPr>
        <w:tabs>
          <w:tab w:val="num" w:pos="2268"/>
        </w:tabs>
        <w:ind w:left="2268" w:hanging="567"/>
      </w:pPr>
      <w:rPr>
        <w:color w:val="auto"/>
        <w:sz w:val="20"/>
        <w:szCs w:val="20"/>
      </w:rPr>
    </w:lvl>
    <w:lvl w:ilvl="5">
      <w:start w:val="1"/>
      <w:numFmt w:val="decimal"/>
      <w:lvlText w:val="(%6)"/>
      <w:lvlJc w:val="left"/>
      <w:pPr>
        <w:tabs>
          <w:tab w:val="num" w:pos="2835"/>
        </w:tabs>
        <w:ind w:left="2835" w:hanging="567"/>
      </w:pPr>
    </w:lvl>
    <w:lvl w:ilvl="6">
      <w:start w:val="1"/>
      <w:numFmt w:val="upperRoman"/>
      <w:lvlText w:val="(%7)"/>
      <w:lvlJc w:val="left"/>
      <w:pPr>
        <w:tabs>
          <w:tab w:val="num" w:pos="3402"/>
        </w:tabs>
        <w:ind w:left="3402" w:hanging="567"/>
      </w:pPr>
    </w:lvl>
    <w:lvl w:ilvl="7">
      <w:start w:val="1"/>
      <w:numFmt w:val="lowerLetter"/>
      <w:lvlText w:val="%8."/>
      <w:lvlJc w:val="left"/>
      <w:pPr>
        <w:tabs>
          <w:tab w:val="num" w:pos="3969"/>
        </w:tabs>
        <w:ind w:left="3969" w:hanging="567"/>
      </w:pPr>
    </w:lvl>
    <w:lvl w:ilvl="8">
      <w:start w:val="1"/>
      <w:numFmt w:val="lowerRoman"/>
      <w:lvlText w:val="%9."/>
      <w:lvlJc w:val="left"/>
      <w:pPr>
        <w:tabs>
          <w:tab w:val="num" w:pos="4536"/>
        </w:tabs>
        <w:ind w:left="4536" w:hanging="567"/>
      </w:pPr>
      <w:rPr>
        <w:color w:val="auto"/>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239"/>
    <w:rsid w:val="002C0965"/>
    <w:rsid w:val="004D0239"/>
    <w:rsid w:val="00B116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B129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Univers 45 Light" w:hAnsi="Univers 45 Light"/>
    </w:rPr>
  </w:style>
  <w:style w:type="paragraph" w:styleId="Heading1">
    <w:name w:val="heading 1"/>
    <w:aliases w:val="Title 1,No numbers,Main Heading,h1,Head1,Heading apps,Section Heading,Subheading,Hoofdstukkop,H1,69%,Attribute Heading 1,1.,heading 1,MAIN HEADING,1. Level 1 Heading,L1,Level 1,Para1,h11,h12,A MAJOR/BOLD,Para,Appendix,Appendix1,Appendix2,1"/>
    <w:basedOn w:val="Normal"/>
    <w:next w:val="Normal"/>
    <w:link w:val="Heading1Char"/>
    <w:uiPriority w:val="9"/>
    <w:qFormat/>
    <w:pPr>
      <w:spacing w:before="300" w:after="40"/>
      <w:jc w:val="left"/>
      <w:outlineLvl w:val="0"/>
    </w:pPr>
    <w:rPr>
      <w:smallCaps/>
      <w:spacing w:val="5"/>
      <w:sz w:val="32"/>
      <w:szCs w:val="32"/>
    </w:rPr>
  </w:style>
  <w:style w:type="paragraph" w:styleId="Heading2">
    <w:name w:val="heading 2"/>
    <w:aliases w:val="Title 2,Body Text (Reset numbering),h2,Heading b,Heading 2X,Reset numbering,l2,list 2,list 2,heading 2TOC,Head 2,List level 2,2,Header 2,H2,heading 2body,h2 main heading,body,Attribute Heading 2,test,B Sub/Bold,B Sub/Bold1,B Sub/Bold2,2m"/>
    <w:basedOn w:val="Normal"/>
    <w:next w:val="Normal"/>
    <w:link w:val="Heading2Char"/>
    <w:uiPriority w:val="9"/>
    <w:unhideWhenUsed/>
    <w:qFormat/>
    <w:pPr>
      <w:spacing w:before="240" w:after="80"/>
      <w:jc w:val="left"/>
      <w:outlineLvl w:val="1"/>
    </w:pPr>
    <w:rPr>
      <w:smallCaps/>
      <w:spacing w:val="5"/>
      <w:sz w:val="28"/>
      <w:szCs w:val="28"/>
    </w:rPr>
  </w:style>
  <w:style w:type="paragraph" w:styleId="Heading3">
    <w:name w:val="heading 3"/>
    <w:aliases w:val="Title 3,h3,H3,Heading 3a,H31,C Sub-Sub/Italic,h3 sub heading,Head 3,Head 31,Head 32,C Sub-Sub/Italic1,(Alt+3),3m,3,Sub2Para,sub-sub-para,Table Attribute Heading,H32,H33,H311,Subhead B,Heading C,H34,H312,H321,H331,H3111,H35,H313,H322,H332"/>
    <w:basedOn w:val="Normal"/>
    <w:next w:val="Normal"/>
    <w:link w:val="Heading3Char"/>
    <w:uiPriority w:val="9"/>
    <w:unhideWhenUsed/>
    <w:qFormat/>
    <w:pPr>
      <w:spacing w:after="0"/>
      <w:jc w:val="left"/>
      <w:outlineLvl w:val="2"/>
    </w:pPr>
    <w:rPr>
      <w:smallCaps/>
      <w:spacing w:val="5"/>
      <w:sz w:val="24"/>
      <w:szCs w:val="24"/>
    </w:rPr>
  </w:style>
  <w:style w:type="paragraph" w:styleId="Heading4">
    <w:name w:val="heading 4"/>
    <w:aliases w:val="Title 4,h4,4,H4,(Alt+4),H41,(Alt+4)1,H42,(Alt+4)2,H43,(Alt+4)3,H44,(Alt+4)4,H45,(Alt+4)5,H411,(Alt+4)11,H421,(Alt+4)21,H431,(Alt+4)31,H46,(Alt+4)6,H412,(Alt+4)12,H422,(Alt+4)22,H432,(Alt+4)32,H47,(Alt+4)7,H48,(Alt+4)8,H49,(Alt+4)9,H410"/>
    <w:basedOn w:val="Normal"/>
    <w:next w:val="Normal"/>
    <w:link w:val="Heading4Char"/>
    <w:uiPriority w:val="9"/>
    <w:unhideWhenUsed/>
    <w:qFormat/>
    <w:pPr>
      <w:spacing w:before="240" w:after="0"/>
      <w:jc w:val="left"/>
      <w:outlineLvl w:val="3"/>
    </w:pPr>
    <w:rPr>
      <w:smallCaps/>
      <w:spacing w:val="10"/>
      <w:sz w:val="22"/>
      <w:szCs w:val="22"/>
    </w:rPr>
  </w:style>
  <w:style w:type="paragraph" w:styleId="Heading5">
    <w:name w:val="heading 5"/>
    <w:aliases w:val="Title 5,H5,(A),Level 3 - i,h5,(A)Text,Lev 5,Block Label,level 5,H51,H52,H53,H54,H55,H56,H57,H58,H59,H510,H511,H512,H513,H514,H515,H516,H517,H518,H519,H520,H521,H522,H523,H524,H525,H526,H527,H528,H529,H530,H531,H532,H533,H534,H535,H536,H537"/>
    <w:basedOn w:val="Normal"/>
    <w:next w:val="Normal"/>
    <w:link w:val="Heading5Char"/>
    <w:uiPriority w:val="9"/>
    <w:unhideWhenUsed/>
    <w:qFormat/>
    <w:pPr>
      <w:spacing w:before="200" w:after="0"/>
      <w:jc w:val="left"/>
      <w:outlineLvl w:val="4"/>
    </w:pPr>
    <w:rPr>
      <w:smallCaps/>
      <w:color w:val="943634" w:themeColor="accent2" w:themeShade="BF"/>
      <w:spacing w:val="10"/>
      <w:sz w:val="22"/>
      <w:szCs w:val="26"/>
    </w:rPr>
  </w:style>
  <w:style w:type="paragraph" w:styleId="Heading6">
    <w:name w:val="heading 6"/>
    <w:aliases w:val="H6,a.,(I),Legal Level 1.,h6,Lev 6,T1,level 6,L1 PIP,Name of Org,dash GS,level6,(Section),(Section)1,(Section)2,(Section)3,(Section)4,(Section)5,(Section)6,(Section)7,(Section)8,(Section)9,(Section)10,(Section)11,(Section)12,(Section)13,as"/>
    <w:basedOn w:val="Normal"/>
    <w:next w:val="Normal"/>
    <w:link w:val="Heading6Char"/>
    <w:uiPriority w:val="9"/>
    <w:unhideWhenUsed/>
    <w:qFormat/>
    <w:pPr>
      <w:spacing w:after="0"/>
      <w:jc w:val="left"/>
      <w:outlineLvl w:val="5"/>
    </w:pPr>
    <w:rPr>
      <w:smallCaps/>
      <w:color w:val="C0504D" w:themeColor="accent2"/>
      <w:spacing w:val="5"/>
      <w:sz w:val="22"/>
    </w:rPr>
  </w:style>
  <w:style w:type="paragraph" w:styleId="Heading7">
    <w:name w:val="heading 7"/>
    <w:aliases w:val="H7,i.,(1),Legal Level 1.1.,h7,Lev 7,level1-noHeading,L2 PIP,ap,square GS,level1noheading"/>
    <w:basedOn w:val="Normal"/>
    <w:next w:val="Normal"/>
    <w:link w:val="Heading7Char"/>
    <w:uiPriority w:val="9"/>
    <w:unhideWhenUsed/>
    <w:qFormat/>
    <w:pPr>
      <w:spacing w:after="0"/>
      <w:jc w:val="left"/>
      <w:outlineLvl w:val="6"/>
    </w:pPr>
    <w:rPr>
      <w:b/>
      <w:smallCaps/>
      <w:color w:val="C0504D" w:themeColor="accent2"/>
      <w:spacing w:val="10"/>
    </w:rPr>
  </w:style>
  <w:style w:type="paragraph" w:styleId="Heading8">
    <w:name w:val="heading 8"/>
    <w:aliases w:val="H8,Legal Level 1.1.1.,h8,Lev 8,ad,level2(a),L3 PIP,(Sub-section Nos)"/>
    <w:basedOn w:val="Normal"/>
    <w:next w:val="Normal"/>
    <w:link w:val="Heading8Char"/>
    <w:uiPriority w:val="9"/>
    <w:unhideWhenUsed/>
    <w:qFormat/>
    <w:pPr>
      <w:spacing w:after="0"/>
      <w:jc w:val="left"/>
      <w:outlineLvl w:val="7"/>
    </w:pPr>
    <w:rPr>
      <w:b/>
      <w:i/>
      <w:smallCaps/>
      <w:color w:val="943634" w:themeColor="accent2" w:themeShade="BF"/>
    </w:rPr>
  </w:style>
  <w:style w:type="paragraph" w:styleId="Heading9">
    <w:name w:val="heading 9"/>
    <w:aliases w:val="H9,Legal Level 1.1.1.1.,h9,Lev 9,aat,level3(i),Heading 9 Char1,Heading 9 Char Char,H9 Char Char,Legal Level 1.1.1.1. Char Char,H9 Char1,Legal Level 1.1.1.1. Char1,H9 Char,Legal Level 1.1.1.1. Char,Bullet 2 Char"/>
    <w:basedOn w:val="Normal"/>
    <w:next w:val="Normal"/>
    <w:link w:val="Heading9Char"/>
    <w:uiPriority w:val="9"/>
    <w:unhideWhenUsed/>
    <w:qFormat/>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pPr>
      <w:spacing w:after="0" w:line="240" w:lineRule="auto"/>
    </w:pPr>
  </w:style>
  <w:style w:type="character" w:customStyle="1" w:styleId="Heading1Char">
    <w:name w:val="Heading 1 Char"/>
    <w:aliases w:val="Title 1 Char,No numbers Char,Main Heading Char,h1 Char,Head1 Char,Heading apps Char,Section Heading Char,Subheading Char,Hoofdstukkop Char,H1 Char,69% Char,Attribute Heading 1 Char,1. Char,heading 1 Char,MAIN HEADING Char,L1 Char,h11 Char"/>
    <w:basedOn w:val="DefaultParagraphFont"/>
    <w:link w:val="Heading1"/>
    <w:uiPriority w:val="9"/>
    <w:rPr>
      <w:smallCaps/>
      <w:spacing w:val="5"/>
      <w:sz w:val="32"/>
      <w:szCs w:val="32"/>
    </w:rPr>
  </w:style>
  <w:style w:type="character" w:customStyle="1" w:styleId="Heading2Char">
    <w:name w:val="Heading 2 Char"/>
    <w:aliases w:val="Title 2 Char,Body Text (Reset numbering) Char,h2 Char,Heading b Char,Heading 2X Char,Reset numbering Char,l2 Char,list 2 Char,list 2 Char,heading 2TOC Char,Head 2 Char,List level 2 Char,2 Char,Header 2 Char,H2 Char,heading 2body Char"/>
    <w:basedOn w:val="DefaultParagraphFont"/>
    <w:link w:val="Heading2"/>
    <w:uiPriority w:val="9"/>
    <w:rPr>
      <w:smallCaps/>
      <w:spacing w:val="5"/>
      <w:sz w:val="28"/>
      <w:szCs w:val="28"/>
    </w:rPr>
  </w:style>
  <w:style w:type="character" w:customStyle="1" w:styleId="Heading3Char">
    <w:name w:val="Heading 3 Char"/>
    <w:aliases w:val="Title 3 Char,h3 Char,H3 Char,Heading 3a Char,H31 Char,C Sub-Sub/Italic Char,h3 sub heading Char,Head 3 Char,Head 31 Char,Head 32 Char,C Sub-Sub/Italic1 Char,(Alt+3) Char,3m Char,3 Char,Sub2Para Char,sub-sub-para Char,H32 Char,H33 Char"/>
    <w:basedOn w:val="DefaultParagraphFont"/>
    <w:link w:val="Heading3"/>
    <w:uiPriority w:val="9"/>
    <w:rPr>
      <w:smallCaps/>
      <w:spacing w:val="5"/>
      <w:sz w:val="24"/>
      <w:szCs w:val="24"/>
    </w:rPr>
  </w:style>
  <w:style w:type="character" w:customStyle="1" w:styleId="Heading4Char">
    <w:name w:val="Heading 4 Char"/>
    <w:aliases w:val="Title 4 Char,h4 Char,4 Char,H4 Char,(Alt+4) Char,H41 Char,(Alt+4)1 Char,H42 Char,(Alt+4)2 Char,H43 Char,(Alt+4)3 Char,H44 Char,(Alt+4)4 Char,H45 Char,(Alt+4)5 Char,H411 Char,(Alt+4)11 Char,H421 Char,(Alt+4)21 Char,H431 Char,(Alt+4)31 Char"/>
    <w:basedOn w:val="DefaultParagraphFont"/>
    <w:link w:val="Heading4"/>
    <w:uiPriority w:val="9"/>
    <w:rPr>
      <w:smallCaps/>
      <w:spacing w:val="10"/>
      <w:sz w:val="22"/>
      <w:szCs w:val="22"/>
    </w:rPr>
  </w:style>
  <w:style w:type="character" w:customStyle="1" w:styleId="Heading5Char">
    <w:name w:val="Heading 5 Char"/>
    <w:aliases w:val="Title 5 Char,H5 Char,(A) Char,Level 3 - i Char,h5 Char,(A)Text Char,Lev 5 Char,Block Label Char,level 5 Char,H51 Char,H52 Char,H53 Char,H54 Char,H55 Char,H56 Char,H57 Char,H58 Char,H59 Char,H510 Char,H511 Char,H512 Char,H513 Char"/>
    <w:basedOn w:val="DefaultParagraphFont"/>
    <w:link w:val="Heading5"/>
    <w:uiPriority w:val="9"/>
    <w:semiHidden/>
    <w:rPr>
      <w:smallCaps/>
      <w:color w:val="943634" w:themeColor="accent2" w:themeShade="BF"/>
      <w:spacing w:val="10"/>
      <w:sz w:val="22"/>
      <w:szCs w:val="26"/>
    </w:rPr>
  </w:style>
  <w:style w:type="character" w:customStyle="1" w:styleId="Heading6Char">
    <w:name w:val="Heading 6 Char"/>
    <w:aliases w:val="H6 Char,a. Char,(I) Char,Legal Level 1. Char,h6 Char,Lev 6 Char,T1 Char,level 6 Char,L1 PIP Char,Name of Org Char,dash GS Char,level6 Char,(Section) Char,(Section)1 Char,(Section)2 Char,(Section)3 Char,(Section)4 Char,(Section)5 Char"/>
    <w:basedOn w:val="DefaultParagraphFont"/>
    <w:link w:val="Heading6"/>
    <w:uiPriority w:val="9"/>
    <w:semiHidden/>
    <w:rPr>
      <w:smallCaps/>
      <w:color w:val="C0504D" w:themeColor="accent2"/>
      <w:spacing w:val="5"/>
      <w:sz w:val="22"/>
    </w:rPr>
  </w:style>
  <w:style w:type="character" w:customStyle="1" w:styleId="Heading7Char">
    <w:name w:val="Heading 7 Char"/>
    <w:aliases w:val="H7 Char,i. Char,(1) Char,Legal Level 1.1. Char,h7 Char,Lev 7 Char,level1-noHeading Char,L2 PIP Char,ap Char,square GS Char,level1noheading Char"/>
    <w:basedOn w:val="DefaultParagraphFont"/>
    <w:link w:val="Heading7"/>
    <w:uiPriority w:val="9"/>
    <w:semiHidden/>
    <w:rPr>
      <w:b/>
      <w:smallCaps/>
      <w:color w:val="C0504D" w:themeColor="accent2"/>
      <w:spacing w:val="10"/>
    </w:rPr>
  </w:style>
  <w:style w:type="character" w:customStyle="1" w:styleId="Heading8Char">
    <w:name w:val="Heading 8 Char"/>
    <w:aliases w:val="H8 Char,Legal Level 1.1.1. Char,h8 Char,Lev 8 Char,ad Char,level2(a) Char,L3 PIP Char,(Sub-section Nos) Char"/>
    <w:basedOn w:val="DefaultParagraphFont"/>
    <w:link w:val="Heading8"/>
    <w:uiPriority w:val="9"/>
    <w:semiHidden/>
    <w:rPr>
      <w:b/>
      <w:i/>
      <w:smallCaps/>
      <w:color w:val="943634" w:themeColor="accent2" w:themeShade="BF"/>
    </w:rPr>
  </w:style>
  <w:style w:type="character" w:customStyle="1" w:styleId="Heading9Char">
    <w:name w:val="Heading 9 Char"/>
    <w:aliases w:val="H9 Char2,Legal Level 1.1.1.1. Char2,h9 Char,Lev 9 Char,aat Char,level3(i) Char,Heading 9 Char1 Char,Heading 9 Char Char Char,H9 Char Char Char,Legal Level 1.1.1.1. Char Char Char,H9 Char1 Char,Legal Level 1.1.1.1. Char1 Char,H9 Char Char1"/>
    <w:basedOn w:val="DefaultParagraphFont"/>
    <w:link w:val="Heading9"/>
    <w:uiPriority w:val="9"/>
    <w:semiHidden/>
    <w:rPr>
      <w:b/>
      <w:i/>
      <w:smallCaps/>
      <w:color w:val="622423" w:themeColor="accent2" w:themeShade="7F"/>
    </w:rPr>
  </w:style>
  <w:style w:type="paragraph" w:styleId="Title">
    <w:name w:val="Title"/>
    <w:basedOn w:val="Normal"/>
    <w:next w:val="Normal"/>
    <w:link w:val="TitleChar"/>
    <w:uiPriority w:val="10"/>
    <w:qFormat/>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Pr>
      <w:smallCaps/>
      <w:sz w:val="48"/>
      <w:szCs w:val="48"/>
    </w:rPr>
  </w:style>
  <w:style w:type="paragraph" w:styleId="Subtitle">
    <w:name w:val="Subtitle"/>
    <w:basedOn w:val="Normal"/>
    <w:next w:val="Normal"/>
    <w:link w:val="SubtitleChar"/>
    <w:uiPriority w:val="11"/>
    <w:qFormat/>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Pr>
      <w:rFonts w:asciiTheme="majorHAnsi" w:eastAsiaTheme="majorEastAsia" w:hAnsiTheme="majorHAnsi" w:cstheme="majorBidi"/>
      <w:szCs w:val="22"/>
    </w:rPr>
  </w:style>
  <w:style w:type="character" w:styleId="Strong">
    <w:name w:val="Strong"/>
    <w:uiPriority w:val="22"/>
    <w:qFormat/>
    <w:rPr>
      <w:b/>
      <w:color w:val="C0504D" w:themeColor="accent2"/>
    </w:rPr>
  </w:style>
  <w:style w:type="character" w:styleId="Emphasis">
    <w:name w:val="Emphasis"/>
    <w:uiPriority w:val="20"/>
    <w:qFormat/>
    <w:rPr>
      <w:b/>
      <w:i/>
      <w:spacing w:val="10"/>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basedOn w:val="DefaultParagraphFont"/>
    <w:link w:val="Quote"/>
    <w:uiPriority w:val="29"/>
    <w:rPr>
      <w:i/>
    </w:rPr>
  </w:style>
  <w:style w:type="paragraph" w:styleId="IntenseQuote">
    <w:name w:val="Intense Quote"/>
    <w:basedOn w:val="Normal"/>
    <w:next w:val="Normal"/>
    <w:link w:val="IntenseQuoteChar"/>
    <w:uiPriority w:val="30"/>
    <w:qFormat/>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Pr>
      <w:b/>
      <w:i/>
      <w:color w:val="FFFFFF" w:themeColor="background1"/>
      <w:shd w:val="clear" w:color="auto" w:fill="C0504D" w:themeFill="accent2"/>
    </w:rPr>
  </w:style>
  <w:style w:type="character" w:styleId="SubtleEmphasis">
    <w:name w:val="Subtle Emphasis"/>
    <w:uiPriority w:val="19"/>
    <w:qFormat/>
    <w:rPr>
      <w:i/>
    </w:rPr>
  </w:style>
  <w:style w:type="character" w:styleId="IntenseEmphasis">
    <w:name w:val="Intense Emphasis"/>
    <w:uiPriority w:val="21"/>
    <w:qFormat/>
    <w:rPr>
      <w:b/>
      <w:i/>
      <w:color w:val="C0504D" w:themeColor="accent2"/>
      <w:spacing w:val="10"/>
    </w:rPr>
  </w:style>
  <w:style w:type="character" w:styleId="SubtleReference">
    <w:name w:val="Subtle Reference"/>
    <w:uiPriority w:val="31"/>
    <w:qFormat/>
    <w:rPr>
      <w:b/>
    </w:rPr>
  </w:style>
  <w:style w:type="character" w:styleId="IntenseReference">
    <w:name w:val="Intense Reference"/>
    <w:uiPriority w:val="32"/>
    <w:qFormat/>
    <w:rPr>
      <w:b/>
      <w:bCs/>
      <w:smallCaps/>
      <w:spacing w:val="5"/>
      <w:sz w:val="22"/>
      <w:szCs w:val="22"/>
      <w:u w:val="single"/>
    </w:rPr>
  </w:style>
  <w:style w:type="character" w:styleId="BookTitle">
    <w:name w:val="Book Title"/>
    <w:uiPriority w:val="33"/>
    <w:qFormat/>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pPr>
      <w:outlineLvl w:val="9"/>
    </w:pPr>
    <w:rPr>
      <w:lang w:bidi="en-US"/>
    </w:rPr>
  </w:style>
  <w:style w:type="paragraph" w:styleId="Caption">
    <w:name w:val="caption"/>
    <w:basedOn w:val="Normal"/>
    <w:next w:val="Normal"/>
    <w:uiPriority w:val="35"/>
    <w:semiHidden/>
    <w:unhideWhenUsed/>
    <w:qFormat/>
    <w:rPr>
      <w:b/>
      <w:bCs/>
      <w:caps/>
      <w:sz w:val="16"/>
      <w:szCs w:val="18"/>
    </w:rPr>
  </w:style>
  <w:style w:type="character" w:customStyle="1" w:styleId="NoSpacingChar">
    <w:name w:val="No Spacing Char"/>
    <w:basedOn w:val="DefaultParagraphFont"/>
    <w:link w:val="NoSpacing"/>
    <w:uiPriority w:val="1"/>
  </w:style>
  <w:style w:type="paragraph" w:customStyle="1" w:styleId="Body3">
    <w:name w:val="Body 3"/>
    <w:basedOn w:val="Normal"/>
    <w:pPr>
      <w:widowControl w:val="0"/>
      <w:spacing w:after="210" w:line="264" w:lineRule="auto"/>
      <w:ind w:left="1418"/>
    </w:pPr>
    <w:rPr>
      <w:rFonts w:ascii="Arial" w:eastAsia="Times New Roman" w:hAnsi="Arial" w:cs="Times New Roman"/>
      <w:kern w:val="28"/>
      <w:sz w:val="21"/>
    </w:rPr>
  </w:style>
  <w:style w:type="character" w:customStyle="1" w:styleId="Heading2Text">
    <w:name w:val="Heading 2 Text"/>
    <w:basedOn w:val="DefaultParagraphFont"/>
    <w:rPr>
      <w:b/>
      <w:sz w:val="20"/>
    </w:rPr>
  </w:style>
  <w:style w:type="paragraph" w:customStyle="1" w:styleId="Level2">
    <w:name w:val="Level 2"/>
    <w:basedOn w:val="Normal"/>
    <w:next w:val="Normal"/>
    <w:pPr>
      <w:widowControl w:val="0"/>
      <w:tabs>
        <w:tab w:val="left" w:pos="709"/>
      </w:tabs>
      <w:spacing w:after="210" w:line="264" w:lineRule="auto"/>
      <w:ind w:left="709" w:hanging="709"/>
    </w:pPr>
    <w:rPr>
      <w:rFonts w:ascii="Arial" w:eastAsia="Times New Roman" w:hAnsi="Arial" w:cs="Times New Roman"/>
      <w:kern w:val="28"/>
      <w:sz w:val="21"/>
    </w:rPr>
  </w:style>
  <w:style w:type="paragraph" w:customStyle="1" w:styleId="Level3">
    <w:name w:val="Level 3"/>
    <w:basedOn w:val="Body3"/>
    <w:next w:val="Body3"/>
    <w:pPr>
      <w:tabs>
        <w:tab w:val="left" w:pos="1417"/>
      </w:tabs>
      <w:ind w:left="1417" w:hanging="708"/>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Univers 45 Light" w:hAnsi="Univers 45 Light"/>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Univers 45 Light" w:hAnsi="Univers 45 Ligh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rFonts w:ascii="Univers 45 Light" w:hAnsi="Univers 45 Ligh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Univers 45 Light" w:hAnsi="Univers 45 Light"/>
      <w:b/>
      <w:bCs/>
    </w:rPr>
  </w:style>
  <w:style w:type="paragraph" w:styleId="Revision">
    <w:name w:val="Revision"/>
    <w:hidden/>
    <w:uiPriority w:val="99"/>
    <w:semiHidden/>
    <w:pPr>
      <w:spacing w:after="0" w:line="240" w:lineRule="auto"/>
      <w:jc w:val="left"/>
    </w:pPr>
    <w:rPr>
      <w:rFonts w:ascii="Univers 45 Light" w:hAnsi="Univers 45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827413">
      <w:bodyDiv w:val="1"/>
      <w:marLeft w:val="0"/>
      <w:marRight w:val="0"/>
      <w:marTop w:val="0"/>
      <w:marBottom w:val="0"/>
      <w:divBdr>
        <w:top w:val="none" w:sz="0" w:space="0" w:color="auto"/>
        <w:left w:val="none" w:sz="0" w:space="0" w:color="auto"/>
        <w:bottom w:val="none" w:sz="0" w:space="0" w:color="auto"/>
        <w:right w:val="none" w:sz="0" w:space="0" w:color="auto"/>
      </w:divBdr>
    </w:div>
    <w:div w:id="83102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1173</Words>
  <Characters>6692</Characters>
  <Application>Microsoft Office Word</Application>
  <DocSecurity>4</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7850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2021-07-12T12:30:00Z</dcterms:created>
  <dcterms:modified xsi:type="dcterms:W3CDTF">2021-07-12T12:30:00Z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gFAA9xAl/vizjZhPOeCe98gHPX7GixD855anMOm+f8IIxJx00IPdUOwr81GfY6/6FxH20lQ2Hh7fe/hK
tDL9+PeC37LwYSAkD3E1FHkukmBAWwqBFCyuYF562sAa46XjB+waEgJP1Ff14E2frS4F9BPGjuDZ
25K9SAL+1TAqUUOzRlpnVO1VFsQ4mErAzMts6Ra2diuUWPSoJ5+r82JPMFbAcRR88tbpZEtRZakR
pdhAM1AFrswku00uX</vt:lpwstr>
  </property>
  <property fmtid="{D5CDD505-2E9C-101B-9397-08002B2CF9AE}" pid="3" name="MAIL_MSG_ID2">
    <vt:lpwstr>qxef8O6RjONwhzPisZ0crtDt+LE+OQNAJuxZMcFPLmGspPCocZF5SYC3+TF
MUQ1QQW61KVn3NThsM/Neh+j/a4/c9+3kWygmQ==</vt:lpwstr>
  </property>
  <property fmtid="{D5CDD505-2E9C-101B-9397-08002B2CF9AE}" pid="4" name="RESPONSE_SENDER_NAME">
    <vt:lpwstr>sAAA2RgG6J6jCJ1dCkWMJF6oOSM/BjVHzOxZfCDSrrHyghE=</vt:lpwstr>
  </property>
  <property fmtid="{D5CDD505-2E9C-101B-9397-08002B2CF9AE}" pid="5" name="EMAIL_OWNER_ADDRESS">
    <vt:lpwstr>ABAAdnH19QYq2YU90Z9Jna6/+NnCBy8cvyPYrSFeg+CbhI816DL0STLcr9iLe8RXeLl3</vt:lpwstr>
  </property>
  <property fmtid="{D5CDD505-2E9C-101B-9397-08002B2CF9AE}" pid="6" name="Plato EditorId">
    <vt:lpwstr>5565e818-d311-4be4-8132-74131c5e96c5</vt:lpwstr>
  </property>
</Properties>
</file>